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62A" w:rsidRDefault="0057162A" w:rsidP="007E610C">
      <w:pPr>
        <w:pStyle w:val="Heading1"/>
        <w:numPr>
          <w:ilvl w:val="0"/>
          <w:numId w:val="0"/>
        </w:numPr>
        <w:rPr>
          <w:lang w:val="en-GB"/>
        </w:rPr>
      </w:pPr>
      <w:r>
        <w:rPr>
          <w:noProof/>
          <w:lang w:val="it-IT" w:eastAsia="it-IT"/>
        </w:rPr>
        <w:drawing>
          <wp:inline distT="0" distB="0" distL="0" distR="0" wp14:anchorId="386C5336" wp14:editId="23085BF4">
            <wp:extent cx="5943600" cy="1062990"/>
            <wp:effectExtent l="0" t="0" r="0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684" w:rsidRDefault="00E56684" w:rsidP="007E610C">
      <w:pPr>
        <w:pStyle w:val="Heading1"/>
        <w:numPr>
          <w:ilvl w:val="0"/>
          <w:numId w:val="0"/>
        </w:numPr>
        <w:rPr>
          <w:noProof/>
          <w:lang w:val="en-GB" w:eastAsia="nl-BE"/>
        </w:rPr>
      </w:pPr>
      <w:r w:rsidRPr="00E56684">
        <w:rPr>
          <w:noProof/>
          <w:lang w:val="en-GB" w:eastAsia="nl-BE"/>
        </w:rPr>
        <w:t>Samos Workshop: Uses of Open Data Within Government for Innovation and Efficiency</w:t>
      </w:r>
    </w:p>
    <w:p w:rsidR="00776FB9" w:rsidRPr="007E610C" w:rsidRDefault="007E5FD8" w:rsidP="007E610C">
      <w:pPr>
        <w:pStyle w:val="Heading1"/>
        <w:numPr>
          <w:ilvl w:val="0"/>
          <w:numId w:val="0"/>
        </w:numPr>
        <w:rPr>
          <w:lang w:val="en-GB"/>
        </w:rPr>
      </w:pPr>
      <w:r>
        <w:rPr>
          <w:lang w:val="en-GB"/>
        </w:rPr>
        <w:t xml:space="preserve">Title of the Best Practice: </w:t>
      </w:r>
      <w:r w:rsidR="00677934" w:rsidRPr="00957EAF">
        <w:t>civic use of open data</w:t>
      </w:r>
    </w:p>
    <w:p w:rsidR="00776FB9" w:rsidRDefault="007E610C">
      <w:pPr>
        <w:pStyle w:val="Heading1"/>
      </w:pPr>
      <w:r>
        <w:t>Outline of the best practice</w:t>
      </w:r>
    </w:p>
    <w:p w:rsidR="0080353B" w:rsidRPr="009575A5" w:rsidRDefault="00AC6DC8" w:rsidP="00D83881">
      <w:pPr>
        <w:jc w:val="both"/>
        <w:rPr>
          <w:b/>
          <w:sz w:val="24"/>
          <w:szCs w:val="24"/>
          <w:lang w:val="en-GB"/>
        </w:rPr>
      </w:pPr>
      <w:r w:rsidRPr="00AC6DC8">
        <w:rPr>
          <w:b/>
          <w:sz w:val="24"/>
          <w:szCs w:val="24"/>
          <w:lang w:val="en-GB"/>
        </w:rPr>
        <w:t>Citizens, journalist, experts, researchers, students – or all combined – collect information on a s</w:t>
      </w:r>
      <w:r w:rsidR="0043660C">
        <w:rPr>
          <w:b/>
          <w:sz w:val="24"/>
          <w:szCs w:val="24"/>
          <w:lang w:val="en-GB"/>
        </w:rPr>
        <w:t xml:space="preserve">pecific project chosen from </w:t>
      </w:r>
      <w:r w:rsidR="00F163D5">
        <w:rPr>
          <w:b/>
          <w:sz w:val="24"/>
          <w:szCs w:val="24"/>
          <w:lang w:val="en-GB"/>
        </w:rPr>
        <w:t>an</w:t>
      </w:r>
      <w:r w:rsidR="0043660C">
        <w:rPr>
          <w:b/>
          <w:sz w:val="24"/>
          <w:szCs w:val="24"/>
          <w:lang w:val="en-GB"/>
        </w:rPr>
        <w:t xml:space="preserve"> </w:t>
      </w:r>
      <w:r w:rsidR="00F163D5">
        <w:rPr>
          <w:b/>
          <w:sz w:val="24"/>
          <w:szCs w:val="24"/>
          <w:lang w:val="en-GB"/>
        </w:rPr>
        <w:t>open data portal about public projects (</w:t>
      </w:r>
      <w:r w:rsidR="0043660C">
        <w:rPr>
          <w:b/>
          <w:sz w:val="24"/>
          <w:szCs w:val="24"/>
          <w:lang w:val="en-GB"/>
        </w:rPr>
        <w:t>in this case it was th</w:t>
      </w:r>
      <w:r w:rsidR="009575A5">
        <w:rPr>
          <w:b/>
          <w:sz w:val="24"/>
          <w:szCs w:val="24"/>
          <w:lang w:val="en-GB"/>
        </w:rPr>
        <w:t>e</w:t>
      </w:r>
      <w:r w:rsidR="0043660C">
        <w:rPr>
          <w:b/>
          <w:sz w:val="24"/>
          <w:szCs w:val="24"/>
          <w:lang w:val="en-GB"/>
        </w:rPr>
        <w:t xml:space="preserve"> </w:t>
      </w:r>
      <w:proofErr w:type="spellStart"/>
      <w:r w:rsidRPr="00AC6DC8">
        <w:rPr>
          <w:b/>
          <w:sz w:val="24"/>
          <w:szCs w:val="24"/>
          <w:lang w:val="en-GB"/>
        </w:rPr>
        <w:t>OpenCoesione</w:t>
      </w:r>
      <w:proofErr w:type="spellEnd"/>
      <w:r w:rsidR="008E3D98">
        <w:rPr>
          <w:rStyle w:val="FootnoteReference"/>
          <w:b/>
          <w:sz w:val="24"/>
          <w:szCs w:val="24"/>
          <w:lang w:val="en-GB"/>
        </w:rPr>
        <w:footnoteReference w:id="1"/>
      </w:r>
      <w:r w:rsidRPr="00AC6DC8">
        <w:rPr>
          <w:b/>
          <w:sz w:val="24"/>
          <w:szCs w:val="24"/>
          <w:lang w:val="en-GB"/>
        </w:rPr>
        <w:t xml:space="preserve"> database</w:t>
      </w:r>
      <w:r w:rsidR="0043660C">
        <w:rPr>
          <w:b/>
          <w:sz w:val="24"/>
          <w:szCs w:val="24"/>
          <w:lang w:val="en-GB"/>
        </w:rPr>
        <w:t>)</w:t>
      </w:r>
      <w:r w:rsidRPr="00AC6DC8">
        <w:rPr>
          <w:b/>
          <w:sz w:val="24"/>
          <w:szCs w:val="24"/>
          <w:lang w:val="en-GB"/>
        </w:rPr>
        <w:t xml:space="preserve">. </w:t>
      </w:r>
      <w:r w:rsidR="0043660C">
        <w:rPr>
          <w:b/>
          <w:sz w:val="24"/>
          <w:szCs w:val="24"/>
          <w:lang w:val="en-GB"/>
        </w:rPr>
        <w:t xml:space="preserve">This </w:t>
      </w:r>
      <w:r w:rsidRPr="00AC6DC8">
        <w:rPr>
          <w:b/>
          <w:sz w:val="24"/>
          <w:szCs w:val="24"/>
          <w:lang w:val="en-GB"/>
        </w:rPr>
        <w:t>in</w:t>
      </w:r>
      <w:r w:rsidR="008E3D98">
        <w:rPr>
          <w:b/>
          <w:sz w:val="24"/>
          <w:szCs w:val="24"/>
          <w:lang w:val="en-GB"/>
        </w:rPr>
        <w:t xml:space="preserve">formation can be uploaded on a platform </w:t>
      </w:r>
      <w:r w:rsidRPr="00AC6DC8">
        <w:rPr>
          <w:b/>
          <w:sz w:val="24"/>
          <w:szCs w:val="24"/>
          <w:lang w:val="en-GB"/>
        </w:rPr>
        <w:t>based</w:t>
      </w:r>
      <w:r w:rsidR="008E3D98">
        <w:rPr>
          <w:b/>
          <w:sz w:val="24"/>
          <w:szCs w:val="24"/>
          <w:lang w:val="en-GB"/>
        </w:rPr>
        <w:t>, for example,</w:t>
      </w:r>
      <w:r w:rsidRPr="00AC6DC8">
        <w:rPr>
          <w:b/>
          <w:sz w:val="24"/>
          <w:szCs w:val="24"/>
          <w:lang w:val="en-GB"/>
        </w:rPr>
        <w:t xml:space="preserve"> on </w:t>
      </w:r>
      <w:proofErr w:type="spellStart"/>
      <w:r w:rsidRPr="00AC6DC8">
        <w:rPr>
          <w:b/>
          <w:sz w:val="24"/>
          <w:szCs w:val="24"/>
          <w:lang w:val="en-GB"/>
        </w:rPr>
        <w:t>Ushahidi</w:t>
      </w:r>
      <w:proofErr w:type="spellEnd"/>
      <w:r w:rsidR="008E3D98">
        <w:rPr>
          <w:rStyle w:val="FootnoteReference"/>
          <w:b/>
          <w:sz w:val="24"/>
          <w:szCs w:val="24"/>
          <w:lang w:val="en-GB"/>
        </w:rPr>
        <w:footnoteReference w:id="2"/>
      </w:r>
      <w:r w:rsidR="008E3D98">
        <w:rPr>
          <w:b/>
          <w:sz w:val="24"/>
          <w:szCs w:val="24"/>
          <w:lang w:val="en-GB"/>
        </w:rPr>
        <w:t xml:space="preserve"> (like the </w:t>
      </w:r>
      <w:proofErr w:type="spellStart"/>
      <w:r w:rsidR="008E3D98" w:rsidRPr="00AC6DC8">
        <w:rPr>
          <w:b/>
          <w:sz w:val="24"/>
          <w:szCs w:val="24"/>
          <w:lang w:val="en-GB"/>
        </w:rPr>
        <w:t>Monithon</w:t>
      </w:r>
      <w:proofErr w:type="spellEnd"/>
      <w:r w:rsidR="008E3D98">
        <w:rPr>
          <w:rStyle w:val="FootnoteReference"/>
          <w:b/>
          <w:sz w:val="24"/>
          <w:szCs w:val="24"/>
          <w:lang w:val="en-GB"/>
        </w:rPr>
        <w:footnoteReference w:id="3"/>
      </w:r>
      <w:r w:rsidR="008E3D98">
        <w:rPr>
          <w:b/>
          <w:sz w:val="24"/>
          <w:szCs w:val="24"/>
          <w:lang w:val="en-GB"/>
        </w:rPr>
        <w:t xml:space="preserve"> platform)</w:t>
      </w:r>
      <w:r w:rsidR="009575A5">
        <w:rPr>
          <w:b/>
          <w:sz w:val="24"/>
          <w:szCs w:val="24"/>
          <w:lang w:val="en-GB"/>
        </w:rPr>
        <w:t>,</w:t>
      </w:r>
      <w:r w:rsidRPr="00AC6DC8">
        <w:rPr>
          <w:b/>
          <w:sz w:val="24"/>
          <w:szCs w:val="24"/>
          <w:lang w:val="en-GB"/>
        </w:rPr>
        <w:t xml:space="preserve"> by selecting</w:t>
      </w:r>
      <w:r w:rsidR="0043660C">
        <w:rPr>
          <w:b/>
          <w:sz w:val="24"/>
          <w:szCs w:val="24"/>
          <w:lang w:val="en-GB"/>
        </w:rPr>
        <w:t xml:space="preserve"> the projects from a list and is</w:t>
      </w:r>
      <w:r w:rsidRPr="00AC6DC8">
        <w:rPr>
          <w:b/>
          <w:sz w:val="24"/>
          <w:szCs w:val="24"/>
          <w:lang w:val="en-GB"/>
        </w:rPr>
        <w:t xml:space="preserve"> geo-referenced and enriched with interviews, quantitative data, pictures, videos. The result is a form of</w:t>
      </w:r>
      <w:r w:rsidR="008E3D98">
        <w:rPr>
          <w:b/>
          <w:sz w:val="24"/>
          <w:szCs w:val="24"/>
          <w:lang w:val="en-GB"/>
        </w:rPr>
        <w:t xml:space="preserve"> </w:t>
      </w:r>
      <w:r w:rsidR="008E3D98" w:rsidRPr="00AC6DC8">
        <w:rPr>
          <w:b/>
          <w:sz w:val="24"/>
          <w:szCs w:val="24"/>
          <w:lang w:val="en-GB"/>
        </w:rPr>
        <w:t>bottom-dow</w:t>
      </w:r>
      <w:r w:rsidR="008E3D98">
        <w:rPr>
          <w:b/>
          <w:sz w:val="24"/>
          <w:szCs w:val="24"/>
          <w:lang w:val="en-GB"/>
        </w:rPr>
        <w:t>n,</w:t>
      </w:r>
      <w:r w:rsidR="009575A5">
        <w:rPr>
          <w:b/>
          <w:sz w:val="24"/>
          <w:szCs w:val="24"/>
          <w:lang w:val="en-GB"/>
        </w:rPr>
        <w:t xml:space="preserve"> </w:t>
      </w:r>
      <w:r w:rsidRPr="00AC6DC8">
        <w:rPr>
          <w:b/>
          <w:sz w:val="24"/>
          <w:szCs w:val="24"/>
          <w:lang w:val="en-GB"/>
        </w:rPr>
        <w:t xml:space="preserve">civic, </w:t>
      </w:r>
      <w:r w:rsidR="008E3D98">
        <w:rPr>
          <w:b/>
          <w:sz w:val="24"/>
          <w:szCs w:val="24"/>
          <w:lang w:val="en-GB"/>
        </w:rPr>
        <w:t>collective data storytelling</w:t>
      </w:r>
      <w:r w:rsidR="0043660C">
        <w:rPr>
          <w:b/>
          <w:sz w:val="24"/>
          <w:szCs w:val="24"/>
          <w:lang w:val="en-GB"/>
        </w:rPr>
        <w:t xml:space="preserve">. </w:t>
      </w:r>
      <w:r w:rsidR="009575A5">
        <w:rPr>
          <w:b/>
          <w:sz w:val="24"/>
          <w:szCs w:val="24"/>
          <w:lang w:val="en-GB"/>
        </w:rPr>
        <w:t xml:space="preserve">This approach </w:t>
      </w:r>
      <w:r w:rsidR="009575A5" w:rsidRPr="009575A5">
        <w:rPr>
          <w:b/>
          <w:sz w:val="24"/>
          <w:szCs w:val="24"/>
          <w:lang w:val="en-GB"/>
        </w:rPr>
        <w:t xml:space="preserve">fosters participation of the citizens and </w:t>
      </w:r>
      <w:r w:rsidR="008E11A8">
        <w:rPr>
          <w:b/>
          <w:sz w:val="24"/>
          <w:szCs w:val="24"/>
          <w:lang w:val="en-GB"/>
        </w:rPr>
        <w:t xml:space="preserve">indirectly improves the </w:t>
      </w:r>
      <w:r w:rsidR="009575A5" w:rsidRPr="009575A5">
        <w:rPr>
          <w:b/>
          <w:sz w:val="24"/>
          <w:szCs w:val="24"/>
          <w:lang w:val="en-GB"/>
        </w:rPr>
        <w:t xml:space="preserve">efficiency of </w:t>
      </w:r>
      <w:r w:rsidR="008E11A8">
        <w:rPr>
          <w:b/>
          <w:sz w:val="24"/>
          <w:szCs w:val="24"/>
          <w:lang w:val="en-GB"/>
        </w:rPr>
        <w:t>public spending</w:t>
      </w:r>
      <w:r w:rsidR="009575A5" w:rsidRPr="009575A5">
        <w:rPr>
          <w:b/>
          <w:sz w:val="24"/>
          <w:szCs w:val="24"/>
          <w:lang w:val="en-GB"/>
        </w:rPr>
        <w:t>.</w:t>
      </w:r>
    </w:p>
    <w:p w:rsidR="006D0243" w:rsidRDefault="006D0243" w:rsidP="006D0243">
      <w:pPr>
        <w:pStyle w:val="Heading1"/>
      </w:pPr>
      <w:r w:rsidRPr="00D83881">
        <w:t>Management summary</w:t>
      </w:r>
      <w:r>
        <w:t xml:space="preserve"> </w:t>
      </w:r>
    </w:p>
    <w:p w:rsidR="00353311" w:rsidRDefault="006D0243" w:rsidP="007E5FD8">
      <w:pPr>
        <w:pStyle w:val="Heading2"/>
      </w:pPr>
      <w:r>
        <w:t>Challenge</w:t>
      </w:r>
    </w:p>
    <w:p w:rsidR="004D195C" w:rsidRPr="004D195C" w:rsidRDefault="00F163D5" w:rsidP="004D195C">
      <w:r w:rsidRPr="00F163D5">
        <w:t>The lack of transparency on how public money is spent and the lack of con</w:t>
      </w:r>
      <w:r w:rsidR="00AB4A0A">
        <w:t xml:space="preserve">trol over the projects status </w:t>
      </w:r>
      <w:r w:rsidRPr="00F163D5">
        <w:t>are two of the main reasons for the slow pace in implementing</w:t>
      </w:r>
      <w:r w:rsidR="008E11A8">
        <w:t xml:space="preserve"> public projects</w:t>
      </w:r>
      <w:r w:rsidR="00E9315F">
        <w:t>,</w:t>
      </w:r>
      <w:r w:rsidR="00957EAF">
        <w:t xml:space="preserve"> frequently causing inefficiencies of all kinds (e.g., time and cost inefficiencies)</w:t>
      </w:r>
      <w:r>
        <w:t xml:space="preserve">. </w:t>
      </w:r>
      <w:r w:rsidR="00E9315F">
        <w:t>Moreover citizens are frequently not involved and are not aware about projects that are taking place in the area where they live.</w:t>
      </w:r>
    </w:p>
    <w:p w:rsidR="00353311" w:rsidRDefault="00353311" w:rsidP="00353311">
      <w:pPr>
        <w:pStyle w:val="Heading2"/>
      </w:pPr>
      <w:r>
        <w:t xml:space="preserve">Solution </w:t>
      </w:r>
    </w:p>
    <w:p w:rsidR="004D195C" w:rsidRPr="004D195C" w:rsidRDefault="00F163D5" w:rsidP="004D195C">
      <w:r>
        <w:t>Open data about project</w:t>
      </w:r>
      <w:r w:rsidR="000315DA">
        <w:t>s’</w:t>
      </w:r>
      <w:r>
        <w:t xml:space="preserve"> financing</w:t>
      </w:r>
      <w:r w:rsidR="008E11A8">
        <w:t>s</w:t>
      </w:r>
      <w:r>
        <w:t xml:space="preserve"> in conjunction with a platform that enables projects</w:t>
      </w:r>
      <w:r w:rsidR="00957EAF">
        <w:t>’</w:t>
      </w:r>
      <w:r w:rsidR="008E11A8">
        <w:t xml:space="preserve"> on-</w:t>
      </w:r>
      <w:r>
        <w:t xml:space="preserve">site monitoring </w:t>
      </w:r>
      <w:r w:rsidR="00AB4A0A">
        <w:t>(</w:t>
      </w:r>
      <w:r>
        <w:t>and sharing</w:t>
      </w:r>
      <w:r w:rsidR="00957EAF">
        <w:t xml:space="preserve"> of</w:t>
      </w:r>
      <w:r>
        <w:t xml:space="preserve"> the results</w:t>
      </w:r>
      <w:r w:rsidR="00AB4A0A">
        <w:t>)</w:t>
      </w:r>
      <w:r>
        <w:t xml:space="preserve"> can help solve the problem</w:t>
      </w:r>
      <w:r w:rsidR="00AB4A0A">
        <w:t>s</w:t>
      </w:r>
      <w:r>
        <w:t xml:space="preserve"> mentioned above.</w:t>
      </w:r>
    </w:p>
    <w:p w:rsidR="00C65344" w:rsidRDefault="00C65344" w:rsidP="00C65344">
      <w:pPr>
        <w:pStyle w:val="Heading1"/>
      </w:pPr>
      <w:r w:rsidRPr="00C65344">
        <w:lastRenderedPageBreak/>
        <w:t>Best Practice Identification</w:t>
      </w:r>
    </w:p>
    <w:p w:rsidR="00C65344" w:rsidRDefault="00C65344" w:rsidP="002F4DB5">
      <w:pPr>
        <w:pStyle w:val="Heading2"/>
      </w:pPr>
      <w:r>
        <w:t xml:space="preserve">Why is this a Best Practice? What's the impact of the Best Practice? </w:t>
      </w:r>
    </w:p>
    <w:p w:rsidR="004D195C" w:rsidRDefault="00F163D5" w:rsidP="004D195C">
      <w:r>
        <w:t xml:space="preserve">Exposing open data about public projects financing and offering to the citizens a </w:t>
      </w:r>
      <w:r w:rsidR="008E11A8">
        <w:t>collaborative platform for</w:t>
      </w:r>
      <w:r>
        <w:t xml:space="preserve"> controlling those projects</w:t>
      </w:r>
      <w:r w:rsidR="00B661D9">
        <w:t>,</w:t>
      </w:r>
      <w:r w:rsidR="008E11A8">
        <w:t xml:space="preserve"> helps to eliminate some inefficiency in public spending and helps citizen to be actively involved</w:t>
      </w:r>
      <w:r w:rsidR="00957EAF">
        <w:t xml:space="preserve"> in public projects</w:t>
      </w:r>
      <w:r w:rsidR="008E11A8">
        <w:t>.</w:t>
      </w:r>
    </w:p>
    <w:p w:rsidR="00957EAF" w:rsidRPr="004D195C" w:rsidRDefault="00957EAF" w:rsidP="004D195C">
      <w:r>
        <w:t xml:space="preserve">The </w:t>
      </w:r>
      <w:r w:rsidRPr="00957EAF">
        <w:t>platform</w:t>
      </w:r>
      <w:r>
        <w:t xml:space="preserve"> for monitoring public projects</w:t>
      </w:r>
      <w:r w:rsidRPr="00957EAF">
        <w:t xml:space="preserve"> is </w:t>
      </w:r>
      <w:r w:rsidR="00B661D9">
        <w:t xml:space="preserve">a </w:t>
      </w:r>
      <w:r w:rsidRPr="00957EAF">
        <w:t>method and a model whereby citizen monitoring may be initiated and a tool for civic partners</w:t>
      </w:r>
      <w:r w:rsidR="00B661D9">
        <w:t xml:space="preserve"> to:</w:t>
      </w:r>
      <w:r w:rsidRPr="00957EAF">
        <w:t xml:space="preserve"> press forward, report on malpractice, but also collaborate in making all these projects work, in accelerating their completion and understanding whether they actually respond to local demand. </w:t>
      </w:r>
      <w:r>
        <w:t>This approach fosters a</w:t>
      </w:r>
      <w:r w:rsidRPr="00957EAF">
        <w:t xml:space="preserve"> civic use of open data, so that citizens can feel a closer connection with the ways in which public money </w:t>
      </w:r>
      <w:r w:rsidR="00B661D9">
        <w:t xml:space="preserve">is </w:t>
      </w:r>
      <w:r w:rsidRPr="00957EAF">
        <w:t>being employed and ultimately with public policies and decisions.</w:t>
      </w:r>
    </w:p>
    <w:p w:rsidR="00BF411D" w:rsidRPr="00A36A76" w:rsidRDefault="00BF411D" w:rsidP="00BF411D">
      <w:pPr>
        <w:pStyle w:val="Heading2"/>
        <w:numPr>
          <w:ilvl w:val="1"/>
          <w:numId w:val="1"/>
        </w:numPr>
      </w:pPr>
      <w:r w:rsidRPr="00A36A76">
        <w:t>Link to the PSI Directive</w:t>
      </w:r>
    </w:p>
    <w:p w:rsidR="004D195C" w:rsidRDefault="004D195C" w:rsidP="00BF411D">
      <w:pPr>
        <w:rPr>
          <w:i/>
        </w:rPr>
      </w:pPr>
      <w:r w:rsidRPr="004D195C">
        <w:rPr>
          <w:i/>
        </w:rPr>
        <w:t xml:space="preserve">(Please use </w:t>
      </w:r>
      <w:r>
        <w:rPr>
          <w:i/>
        </w:rPr>
        <w:t xml:space="preserve">one or more of the </w:t>
      </w:r>
      <w:r w:rsidRPr="004D195C">
        <w:rPr>
          <w:i/>
        </w:rPr>
        <w:t xml:space="preserve">categories </w:t>
      </w:r>
      <w:r>
        <w:rPr>
          <w:i/>
        </w:rPr>
        <w:t xml:space="preserve">listed </w:t>
      </w:r>
      <w:r w:rsidRPr="004D195C">
        <w:rPr>
          <w:i/>
        </w:rPr>
        <w:t>on the last page of this document</w:t>
      </w:r>
      <w:r>
        <w:rPr>
          <w:i/>
        </w:rPr>
        <w:t>, as many as relevant</w:t>
      </w:r>
      <w:r w:rsidRPr="004D195C">
        <w:rPr>
          <w:i/>
        </w:rPr>
        <w:t>)</w:t>
      </w:r>
    </w:p>
    <w:p w:rsidR="004D195C" w:rsidRDefault="00E56684" w:rsidP="00BF411D">
      <w:r w:rsidRPr="00E56684">
        <w:t>-</w:t>
      </w:r>
      <w:r w:rsidRPr="00E56684">
        <w:tab/>
        <w:t>Open Data platform(s) / Publication and deployment of information/data and metadata</w:t>
      </w:r>
    </w:p>
    <w:p w:rsidR="00E56684" w:rsidRPr="004D195C" w:rsidRDefault="00E56684" w:rsidP="00BF411D">
      <w:r w:rsidRPr="00E56684">
        <w:t>-</w:t>
      </w:r>
      <w:r w:rsidRPr="00E56684">
        <w:tab/>
        <w:t>Data quality issues and solutions / Quality assurance, feedback channels and evaluation</w:t>
      </w:r>
    </w:p>
    <w:p w:rsidR="00C65344" w:rsidRDefault="00837EC5" w:rsidP="004D195C">
      <w:pPr>
        <w:pStyle w:val="Heading2"/>
        <w:keepNext w:val="0"/>
        <w:ind w:left="578" w:hanging="578"/>
      </w:pPr>
      <w:r>
        <w:t>Why</w:t>
      </w:r>
      <w:r w:rsidR="00C65344" w:rsidRPr="00837EC5">
        <w:t xml:space="preserve"> </w:t>
      </w:r>
      <w:r>
        <w:t>is there a</w:t>
      </w:r>
      <w:r w:rsidR="00C65344" w:rsidRPr="00837EC5">
        <w:t xml:space="preserve"> need for this Best Practice? </w:t>
      </w:r>
    </w:p>
    <w:p w:rsidR="004D195C" w:rsidRDefault="00957EAF" w:rsidP="004D195C">
      <w:r>
        <w:t xml:space="preserve">It </w:t>
      </w:r>
      <w:r w:rsidR="00E56684" w:rsidRPr="00E56684">
        <w:t>foster</w:t>
      </w:r>
      <w:r w:rsidR="00E56684">
        <w:t>s</w:t>
      </w:r>
      <w:r w:rsidR="00E56684" w:rsidRPr="00E56684">
        <w:t xml:space="preserve"> participation of the citizens and efficie</w:t>
      </w:r>
      <w:r w:rsidR="00AC6DC8">
        <w:t>ncy of the public sector bodies</w:t>
      </w:r>
      <w:r w:rsidR="00E56684" w:rsidRPr="00E56684">
        <w:t>.</w:t>
      </w:r>
      <w:r w:rsidR="00E9315F">
        <w:t xml:space="preserve"> In Italy</w:t>
      </w:r>
      <w:r w:rsidR="00B661D9">
        <w:t xml:space="preserve">, </w:t>
      </w:r>
      <w:r w:rsidR="00E9315F">
        <w:t xml:space="preserve">several cases of malpractice and issues of various types have </w:t>
      </w:r>
      <w:r w:rsidR="00B661D9">
        <w:t xml:space="preserve">already </w:t>
      </w:r>
      <w:r w:rsidR="00E9315F">
        <w:t>emerged thanks to</w:t>
      </w:r>
      <w:r w:rsidR="00B661D9">
        <w:t xml:space="preserve"> this approach</w:t>
      </w:r>
      <w:r w:rsidR="00E9315F">
        <w:t>. Making the citizen</w:t>
      </w:r>
      <w:r w:rsidR="00B661D9">
        <w:t>s</w:t>
      </w:r>
      <w:r w:rsidR="00E9315F">
        <w:t xml:space="preserve"> and the policy makers aware about a problem is the first step for solving it and improving the effici</w:t>
      </w:r>
      <w:r w:rsidR="00B661D9">
        <w:t>ency of public expenditure</w:t>
      </w:r>
      <w:r w:rsidR="00E9315F">
        <w:t xml:space="preserve">s.  </w:t>
      </w:r>
    </w:p>
    <w:p w:rsidR="00E335AE" w:rsidRDefault="00E335AE" w:rsidP="00E335AE">
      <w:pPr>
        <w:pStyle w:val="Heading1"/>
      </w:pPr>
      <w:r w:rsidRPr="00E335AE">
        <w:t xml:space="preserve">What do you need for this Best Practice? </w:t>
      </w:r>
    </w:p>
    <w:p w:rsidR="004D195C" w:rsidRDefault="00AC6DC8" w:rsidP="004D195C">
      <w:r>
        <w:t>A few things are needed for this to happen:</w:t>
      </w:r>
    </w:p>
    <w:p w:rsidR="00AC6DC8" w:rsidRDefault="00AC6DC8" w:rsidP="00AC6DC8">
      <w:pPr>
        <w:pStyle w:val="ListParagraph"/>
        <w:numPr>
          <w:ilvl w:val="0"/>
          <w:numId w:val="46"/>
        </w:numPr>
      </w:pPr>
      <w:r>
        <w:t>Good quality open data</w:t>
      </w:r>
      <w:r w:rsidR="00E9315F">
        <w:t xml:space="preserve"> (that in</w:t>
      </w:r>
      <w:r w:rsidR="00A04169">
        <w:t xml:space="preserve"> </w:t>
      </w:r>
      <w:r w:rsidR="00B661D9">
        <w:t xml:space="preserve">the </w:t>
      </w:r>
      <w:r w:rsidR="00A04169">
        <w:t>case</w:t>
      </w:r>
      <w:r w:rsidR="00E9315F">
        <w:t xml:space="preserve"> explained in the paper</w:t>
      </w:r>
      <w:r w:rsidR="006C51DA">
        <w:rPr>
          <w:rStyle w:val="FootnoteReference"/>
        </w:rPr>
        <w:footnoteReference w:id="4"/>
      </w:r>
      <w:r w:rsidR="00A04169">
        <w:t xml:space="preserve"> are published on </w:t>
      </w:r>
      <w:proofErr w:type="spellStart"/>
      <w:r w:rsidR="00A04169">
        <w:t>OpenCoesione</w:t>
      </w:r>
      <w:proofErr w:type="spellEnd"/>
      <w:r w:rsidR="00A04169">
        <w:t>)</w:t>
      </w:r>
      <w:r>
        <w:t>, they must be at least:</w:t>
      </w:r>
    </w:p>
    <w:p w:rsidR="00AC6DC8" w:rsidRDefault="00AC6DC8" w:rsidP="00AC6DC8">
      <w:pPr>
        <w:pStyle w:val="ListParagraph"/>
        <w:numPr>
          <w:ilvl w:val="1"/>
          <w:numId w:val="46"/>
        </w:numPr>
      </w:pPr>
      <w:r>
        <w:t>Understandable (through use of good metadata)</w:t>
      </w:r>
    </w:p>
    <w:p w:rsidR="00AC6DC8" w:rsidRDefault="00AC6DC8" w:rsidP="00AC6DC8">
      <w:pPr>
        <w:pStyle w:val="ListParagraph"/>
        <w:numPr>
          <w:ilvl w:val="1"/>
          <w:numId w:val="46"/>
        </w:numPr>
      </w:pPr>
      <w:r>
        <w:t xml:space="preserve">Machine </w:t>
      </w:r>
      <w:proofErr w:type="spellStart"/>
      <w:r>
        <w:t>processable</w:t>
      </w:r>
      <w:proofErr w:type="spellEnd"/>
    </w:p>
    <w:p w:rsidR="00AC6DC8" w:rsidRDefault="00AC6DC8" w:rsidP="00AC6DC8">
      <w:pPr>
        <w:pStyle w:val="ListParagraph"/>
        <w:numPr>
          <w:ilvl w:val="1"/>
          <w:numId w:val="46"/>
        </w:numPr>
      </w:pPr>
      <w:r>
        <w:t>Complete</w:t>
      </w:r>
    </w:p>
    <w:p w:rsidR="00AC6DC8" w:rsidRDefault="00AC6DC8" w:rsidP="00AC6DC8">
      <w:pPr>
        <w:pStyle w:val="ListParagraph"/>
        <w:numPr>
          <w:ilvl w:val="1"/>
          <w:numId w:val="46"/>
        </w:numPr>
      </w:pPr>
      <w:r>
        <w:t>Up to Date</w:t>
      </w:r>
    </w:p>
    <w:p w:rsidR="00AC6DC8" w:rsidRPr="004D195C" w:rsidRDefault="00AC6DC8" w:rsidP="00663EA3">
      <w:pPr>
        <w:pStyle w:val="ListParagraph"/>
        <w:numPr>
          <w:ilvl w:val="0"/>
          <w:numId w:val="46"/>
        </w:numPr>
      </w:pPr>
      <w:r>
        <w:t>A portal, like</w:t>
      </w:r>
      <w:r w:rsidR="00663EA3">
        <w:t xml:space="preserve"> </w:t>
      </w:r>
      <w:proofErr w:type="spellStart"/>
      <w:r w:rsidR="00663EA3">
        <w:t>Monithon</w:t>
      </w:r>
      <w:proofErr w:type="spellEnd"/>
      <w:r w:rsidR="00663EA3">
        <w:t xml:space="preserve"> (that is an </w:t>
      </w:r>
      <w:r w:rsidR="00663EA3" w:rsidRPr="00663EA3">
        <w:t>independently developed initiative</w:t>
      </w:r>
      <w:r w:rsidR="00663EA3">
        <w:t>), that permits active</w:t>
      </w:r>
      <w:r w:rsidR="00663EA3" w:rsidRPr="00663EA3">
        <w:t xml:space="preserve"> </w:t>
      </w:r>
      <w:r w:rsidR="00B661D9">
        <w:t xml:space="preserve">involvement of communities and </w:t>
      </w:r>
      <w:r w:rsidR="00663EA3">
        <w:t>furnishe</w:t>
      </w:r>
      <w:r w:rsidR="00A04169">
        <w:t>s</w:t>
      </w:r>
      <w:r w:rsidR="00663EA3">
        <w:t xml:space="preserve"> a</w:t>
      </w:r>
      <w:r w:rsidR="00663EA3" w:rsidRPr="00663EA3">
        <w:t xml:space="preserve"> shared methodology</w:t>
      </w:r>
      <w:r w:rsidR="00A04169">
        <w:t xml:space="preserve"> for checking the actual state of the projects described by the op</w:t>
      </w:r>
      <w:bookmarkStart w:id="0" w:name="_GoBack"/>
      <w:bookmarkEnd w:id="0"/>
      <w:r w:rsidR="00A04169">
        <w:t>en data</w:t>
      </w:r>
      <w:r w:rsidR="00E9315F">
        <w:t xml:space="preserve"> on the portal described above.</w:t>
      </w:r>
    </w:p>
    <w:p w:rsidR="00C65344" w:rsidRDefault="00C65344" w:rsidP="00E335AE">
      <w:pPr>
        <w:pStyle w:val="Heading1"/>
      </w:pPr>
      <w:proofErr w:type="gramStart"/>
      <w:r w:rsidRPr="00E335AE">
        <w:lastRenderedPageBreak/>
        <w:t xml:space="preserve">Applicability </w:t>
      </w:r>
      <w:r w:rsidR="00B62AE3">
        <w:t>by</w:t>
      </w:r>
      <w:r w:rsidRPr="00E335AE">
        <w:t xml:space="preserve"> other member states?</w:t>
      </w:r>
      <w:proofErr w:type="gramEnd"/>
      <w:r w:rsidRPr="00E335AE">
        <w:t xml:space="preserve"> </w:t>
      </w:r>
    </w:p>
    <w:p w:rsidR="008E11A8" w:rsidRPr="004D195C" w:rsidRDefault="008E11A8" w:rsidP="004D195C">
      <w:r>
        <w:t xml:space="preserve">Every member state can adopt this approach. </w:t>
      </w:r>
    </w:p>
    <w:p w:rsidR="00C65344" w:rsidRDefault="00C65344" w:rsidP="00E335AE">
      <w:pPr>
        <w:pStyle w:val="Heading1"/>
      </w:pPr>
      <w:r w:rsidRPr="00E335AE">
        <w:t xml:space="preserve">Contact info </w:t>
      </w:r>
      <w:r w:rsidR="005E650A">
        <w:t>-</w:t>
      </w:r>
      <w:r w:rsidRPr="00E335AE">
        <w:t xml:space="preserve"> record of the person to be contacted for additional information or advice. </w:t>
      </w:r>
    </w:p>
    <w:p w:rsidR="003266CE" w:rsidRDefault="00E9315F">
      <w:r w:rsidRPr="001C286F">
        <w:rPr>
          <w:b/>
        </w:rPr>
        <w:t xml:space="preserve">Luigi </w:t>
      </w:r>
      <w:proofErr w:type="spellStart"/>
      <w:r w:rsidRPr="001C286F">
        <w:rPr>
          <w:b/>
        </w:rPr>
        <w:t>Reggi</w:t>
      </w:r>
      <w:proofErr w:type="spellEnd"/>
      <w:r w:rsidRPr="00E9315F">
        <w:t xml:space="preserve"> </w:t>
      </w:r>
      <w:r>
        <w:t xml:space="preserve">- </w:t>
      </w:r>
      <w:r w:rsidRPr="00E9315F">
        <w:t xml:space="preserve">Technology Policy Analyst at the Department for Economic Cohesion and Development, Rome, Italy. Open Government specialist and researcher. </w:t>
      </w:r>
      <w:proofErr w:type="gramStart"/>
      <w:r w:rsidRPr="00E9315F">
        <w:t xml:space="preserve">Member of the scientific committee of </w:t>
      </w:r>
      <w:proofErr w:type="spellStart"/>
      <w:r w:rsidRPr="00E9315F">
        <w:t>OpenCoesione</w:t>
      </w:r>
      <w:proofErr w:type="spellEnd"/>
      <w:r w:rsidRPr="00E9315F">
        <w:t>.</w:t>
      </w:r>
      <w:proofErr w:type="gramEnd"/>
      <w:r w:rsidR="003266CE">
        <w:t xml:space="preserve"> </w:t>
      </w:r>
      <w:proofErr w:type="gramStart"/>
      <w:r w:rsidR="003266CE">
        <w:t xml:space="preserve">Co-founder of </w:t>
      </w:r>
      <w:proofErr w:type="spellStart"/>
      <w:r w:rsidR="003266CE">
        <w:t>Monithon</w:t>
      </w:r>
      <w:proofErr w:type="spellEnd"/>
      <w:r w:rsidR="003266CE">
        <w:t>.</w:t>
      </w:r>
      <w:proofErr w:type="gramEnd"/>
    </w:p>
    <w:p w:rsidR="001C286F" w:rsidRPr="001C286F" w:rsidRDefault="001C286F">
      <w:pPr>
        <w:rPr>
          <w:lang w:val="en-GB"/>
        </w:rPr>
      </w:pPr>
      <w:r w:rsidRPr="001C286F">
        <w:rPr>
          <w:lang w:val="en-GB"/>
        </w:rPr>
        <w:t>E-mail: luigi.reggi@gmail.com</w:t>
      </w:r>
    </w:p>
    <w:p w:rsidR="001C286F" w:rsidRDefault="001C286F" w:rsidP="001C286F">
      <w:r>
        <w:t>Twitter: @</w:t>
      </w:r>
      <w:proofErr w:type="spellStart"/>
      <w:r w:rsidRPr="003266CE">
        <w:t>luigireggi</w:t>
      </w:r>
      <w:proofErr w:type="spellEnd"/>
    </w:p>
    <w:p w:rsidR="001C286F" w:rsidRDefault="001C286F" w:rsidP="001C286F">
      <w:r>
        <w:t xml:space="preserve">Website: </w:t>
      </w:r>
      <w:hyperlink r:id="rId11" w:history="1">
        <w:r w:rsidRPr="00AB7BAA">
          <w:rPr>
            <w:rStyle w:val="Hyperlink"/>
          </w:rPr>
          <w:t>http://luigireggi.eu/about/</w:t>
        </w:r>
      </w:hyperlink>
    </w:p>
    <w:p w:rsidR="001C286F" w:rsidRDefault="001C286F">
      <w:pPr>
        <w:rPr>
          <w:b/>
        </w:rPr>
      </w:pPr>
    </w:p>
    <w:p w:rsidR="001C286F" w:rsidRDefault="001C286F">
      <w:r w:rsidRPr="001C286F">
        <w:rPr>
          <w:b/>
        </w:rPr>
        <w:t>Lorenzo Canova</w:t>
      </w:r>
      <w:r>
        <w:t xml:space="preserve"> – Research Fellow at </w:t>
      </w:r>
      <w:proofErr w:type="spellStart"/>
      <w:r>
        <w:t>Nexa</w:t>
      </w:r>
      <w:proofErr w:type="spellEnd"/>
      <w:r>
        <w:t xml:space="preserve"> Center for Internet and Society at </w:t>
      </w:r>
      <w:proofErr w:type="spellStart"/>
      <w:r>
        <w:t>Politecnico</w:t>
      </w:r>
      <w:proofErr w:type="spellEnd"/>
      <w:r>
        <w:t xml:space="preserve"> di Torino, wrote his master thesis on open data quality foc</w:t>
      </w:r>
      <w:r w:rsidR="00753B73">
        <w:t xml:space="preserve">using on the case study of </w:t>
      </w:r>
      <w:proofErr w:type="spellStart"/>
      <w:r w:rsidR="00753B73">
        <w:t>Open</w:t>
      </w:r>
      <w:r>
        <w:t>Coesione</w:t>
      </w:r>
      <w:proofErr w:type="spellEnd"/>
      <w:r>
        <w:t>.</w:t>
      </w:r>
    </w:p>
    <w:p w:rsidR="001C286F" w:rsidRDefault="001C286F">
      <w:pPr>
        <w:rPr>
          <w:lang w:val="it-IT"/>
        </w:rPr>
      </w:pPr>
      <w:r w:rsidRPr="001C286F">
        <w:rPr>
          <w:lang w:val="it-IT"/>
        </w:rPr>
        <w:t xml:space="preserve">e-mail: </w:t>
      </w:r>
      <w:r w:rsidR="003C0871">
        <w:rPr>
          <w:lang w:val="it-IT"/>
        </w:rPr>
        <w:fldChar w:fldCharType="begin"/>
      </w:r>
      <w:r w:rsidR="003C0871">
        <w:rPr>
          <w:lang w:val="it-IT"/>
        </w:rPr>
        <w:instrText xml:space="preserve"> HYPERLINK "mailto:</w:instrText>
      </w:r>
      <w:r w:rsidR="003C0871" w:rsidRPr="001C286F">
        <w:rPr>
          <w:lang w:val="it-IT"/>
        </w:rPr>
        <w:instrText>lorenzo.canova@polito.it</w:instrText>
      </w:r>
      <w:r w:rsidR="003C0871">
        <w:rPr>
          <w:lang w:val="it-IT"/>
        </w:rPr>
        <w:instrText xml:space="preserve">" </w:instrText>
      </w:r>
      <w:r w:rsidR="003C0871">
        <w:rPr>
          <w:lang w:val="it-IT"/>
        </w:rPr>
        <w:fldChar w:fldCharType="separate"/>
      </w:r>
      <w:r w:rsidR="003C0871" w:rsidRPr="00AB7BAA">
        <w:rPr>
          <w:rStyle w:val="Hyperlink"/>
          <w:lang w:val="it-IT"/>
        </w:rPr>
        <w:t>lorenzo.canova@polito.it</w:t>
      </w:r>
      <w:r w:rsidR="003C0871">
        <w:rPr>
          <w:lang w:val="it-IT"/>
        </w:rPr>
        <w:fldChar w:fldCharType="end"/>
      </w:r>
    </w:p>
    <w:p w:rsidR="003C0871" w:rsidRDefault="003C0871" w:rsidP="003C0871">
      <w:r>
        <w:t>Twitter: @</w:t>
      </w:r>
      <w:proofErr w:type="spellStart"/>
      <w:r>
        <w:t>lorenzocnv</w:t>
      </w:r>
      <w:proofErr w:type="spellEnd"/>
    </w:p>
    <w:p w:rsidR="003C0871" w:rsidRPr="008063A0" w:rsidRDefault="003C0871">
      <w:pPr>
        <w:rPr>
          <w:lang w:val="en-GB"/>
        </w:rPr>
      </w:pPr>
      <w:r w:rsidRPr="008063A0">
        <w:rPr>
          <w:lang w:val="en-GB"/>
        </w:rPr>
        <w:t xml:space="preserve">Website: </w:t>
      </w:r>
      <w:r w:rsidR="008063A0" w:rsidRPr="008063A0">
        <w:rPr>
          <w:lang w:val="en-GB"/>
        </w:rPr>
        <w:t>http://nexa.polito.it/people/lcanova</w:t>
      </w:r>
      <w:r w:rsidR="006C51DA">
        <w:rPr>
          <w:lang w:val="en-GB"/>
        </w:rPr>
        <w:t>/</w:t>
      </w:r>
    </w:p>
    <w:p w:rsidR="00356EB0" w:rsidRPr="008063A0" w:rsidRDefault="00356EB0" w:rsidP="00356EB0">
      <w:pPr>
        <w:rPr>
          <w:lang w:val="en-GB"/>
        </w:rPr>
      </w:pPr>
    </w:p>
    <w:p w:rsidR="00356EB0" w:rsidRDefault="004D195C" w:rsidP="004D195C">
      <w:pPr>
        <w:pStyle w:val="Heading1"/>
        <w:numPr>
          <w:ilvl w:val="0"/>
          <w:numId w:val="0"/>
        </w:numPr>
        <w:ind w:left="432"/>
      </w:pPr>
      <w:r>
        <w:t>Categories for use in section 3.2</w:t>
      </w:r>
    </w:p>
    <w:p w:rsidR="00356EB0" w:rsidRDefault="00356EB0" w:rsidP="00356EB0"/>
    <w:p w:rsidR="00356EB0" w:rsidRDefault="00356EB0" w:rsidP="00356EB0">
      <w:pPr>
        <w:pStyle w:val="ListParagraph"/>
        <w:numPr>
          <w:ilvl w:val="0"/>
          <w:numId w:val="45"/>
        </w:numPr>
      </w:pPr>
      <w:r>
        <w:t>Policies and legislation (legal requirements, licenses etc..) / Licensing of information/data and metadata</w:t>
      </w:r>
    </w:p>
    <w:p w:rsidR="00356EB0" w:rsidRDefault="00356EB0" w:rsidP="00356EB0">
      <w:pPr>
        <w:pStyle w:val="ListParagraph"/>
        <w:numPr>
          <w:ilvl w:val="0"/>
          <w:numId w:val="45"/>
        </w:numPr>
      </w:pPr>
      <w:r>
        <w:t>Open Data platform(s) / Publication and deployment of information/data and metadata</w:t>
      </w:r>
    </w:p>
    <w:p w:rsidR="00356EB0" w:rsidRDefault="00356EB0" w:rsidP="00356EB0">
      <w:pPr>
        <w:pStyle w:val="ListParagraph"/>
        <w:numPr>
          <w:ilvl w:val="0"/>
          <w:numId w:val="45"/>
        </w:numPr>
      </w:pPr>
      <w:r>
        <w:t>Dataset criteria and priorities and value and scope w.r.t. datasets</w:t>
      </w:r>
    </w:p>
    <w:p w:rsidR="00356EB0" w:rsidRDefault="00356EB0" w:rsidP="00356EB0">
      <w:pPr>
        <w:pStyle w:val="ListParagraph"/>
        <w:numPr>
          <w:ilvl w:val="0"/>
          <w:numId w:val="45"/>
        </w:numPr>
      </w:pPr>
      <w:r>
        <w:t>Charging issues and proposals</w:t>
      </w:r>
    </w:p>
    <w:p w:rsidR="00356EB0" w:rsidRDefault="00356EB0" w:rsidP="00356EB0">
      <w:pPr>
        <w:pStyle w:val="ListParagraph"/>
        <w:numPr>
          <w:ilvl w:val="0"/>
          <w:numId w:val="45"/>
        </w:numPr>
      </w:pPr>
      <w:r>
        <w:t xml:space="preserve">Techniques w.r.t. opening up of data / Technical requirements and tools </w:t>
      </w:r>
    </w:p>
    <w:p w:rsidR="00356EB0" w:rsidRDefault="00356EB0" w:rsidP="00356EB0">
      <w:pPr>
        <w:pStyle w:val="ListParagraph"/>
        <w:numPr>
          <w:ilvl w:val="0"/>
          <w:numId w:val="45"/>
        </w:numPr>
      </w:pPr>
      <w:proofErr w:type="spellStart"/>
      <w:r>
        <w:t>Organisational</w:t>
      </w:r>
      <w:proofErr w:type="spellEnd"/>
      <w:r>
        <w:t xml:space="preserve"> structures and skills</w:t>
      </w:r>
    </w:p>
    <w:p w:rsidR="00356EB0" w:rsidRDefault="00356EB0" w:rsidP="00356EB0">
      <w:pPr>
        <w:pStyle w:val="ListParagraph"/>
        <w:numPr>
          <w:ilvl w:val="0"/>
          <w:numId w:val="45"/>
        </w:numPr>
      </w:pPr>
      <w:r>
        <w:t xml:space="preserve">Dataset structures, formats, APIs / Structuring of information/data, formats, APIs </w:t>
      </w:r>
    </w:p>
    <w:p w:rsidR="00356EB0" w:rsidRDefault="00356EB0" w:rsidP="00356EB0">
      <w:pPr>
        <w:pStyle w:val="ListParagraph"/>
        <w:numPr>
          <w:ilvl w:val="0"/>
          <w:numId w:val="45"/>
        </w:numPr>
      </w:pPr>
      <w:r>
        <w:t xml:space="preserve">Encouraging (commercial) re-use </w:t>
      </w:r>
    </w:p>
    <w:p w:rsidR="00356EB0" w:rsidRDefault="00356EB0" w:rsidP="00356EB0">
      <w:pPr>
        <w:pStyle w:val="ListParagraph"/>
        <w:numPr>
          <w:ilvl w:val="0"/>
          <w:numId w:val="45"/>
        </w:numPr>
      </w:pPr>
      <w:r>
        <w:t>Persistence and maintenance of information/data and metadata</w:t>
      </w:r>
    </w:p>
    <w:p w:rsidR="00356EB0" w:rsidRDefault="00356EB0" w:rsidP="00356EB0">
      <w:pPr>
        <w:pStyle w:val="ListParagraph"/>
        <w:numPr>
          <w:ilvl w:val="0"/>
          <w:numId w:val="45"/>
        </w:numPr>
      </w:pPr>
      <w:r>
        <w:t>Data quality issues and solutions / Quality assurance, feedback channels and evaluation</w:t>
      </w:r>
    </w:p>
    <w:p w:rsidR="00356EB0" w:rsidRDefault="00356EB0" w:rsidP="00356EB0">
      <w:pPr>
        <w:pStyle w:val="ListParagraph"/>
        <w:numPr>
          <w:ilvl w:val="0"/>
          <w:numId w:val="45"/>
        </w:numPr>
      </w:pPr>
      <w:r>
        <w:t>Documentation of information/data, creation of metadata</w:t>
      </w:r>
    </w:p>
    <w:p w:rsidR="00356EB0" w:rsidRDefault="00356EB0" w:rsidP="00356EB0">
      <w:pPr>
        <w:pStyle w:val="ListParagraph"/>
        <w:numPr>
          <w:ilvl w:val="0"/>
          <w:numId w:val="45"/>
        </w:numPr>
      </w:pPr>
      <w:r>
        <w:t>Selection of information/data to be published according to various criteria</w:t>
      </w:r>
    </w:p>
    <w:p w:rsidR="00356EB0" w:rsidRPr="00356EB0" w:rsidRDefault="00356EB0" w:rsidP="00356EB0">
      <w:pPr>
        <w:pStyle w:val="ListParagraph"/>
        <w:numPr>
          <w:ilvl w:val="0"/>
          <w:numId w:val="45"/>
        </w:numPr>
      </w:pPr>
      <w:r>
        <w:t>Data discoverability</w:t>
      </w:r>
    </w:p>
    <w:sectPr w:rsidR="00356EB0" w:rsidRPr="00356EB0" w:rsidSect="0057162A">
      <w:pgSz w:w="12240" w:h="15840"/>
      <w:pgMar w:top="851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6C3" w:rsidRDefault="00BF06C3" w:rsidP="008E3D98">
      <w:pPr>
        <w:spacing w:after="0" w:line="240" w:lineRule="auto"/>
      </w:pPr>
      <w:r>
        <w:separator/>
      </w:r>
    </w:p>
  </w:endnote>
  <w:endnote w:type="continuationSeparator" w:id="0">
    <w:p w:rsidR="00BF06C3" w:rsidRDefault="00BF06C3" w:rsidP="008E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6C3" w:rsidRDefault="00BF06C3" w:rsidP="008E3D98">
      <w:pPr>
        <w:spacing w:after="0" w:line="240" w:lineRule="auto"/>
      </w:pPr>
      <w:r>
        <w:separator/>
      </w:r>
    </w:p>
  </w:footnote>
  <w:footnote w:type="continuationSeparator" w:id="0">
    <w:p w:rsidR="00BF06C3" w:rsidRDefault="00BF06C3" w:rsidP="008E3D98">
      <w:pPr>
        <w:spacing w:after="0" w:line="240" w:lineRule="auto"/>
      </w:pPr>
      <w:r>
        <w:continuationSeparator/>
      </w:r>
    </w:p>
  </w:footnote>
  <w:footnote w:id="1">
    <w:p w:rsidR="008E3D98" w:rsidRPr="009575A5" w:rsidRDefault="008E3D98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="009575A5">
        <w:t xml:space="preserve"> A</w:t>
      </w:r>
      <w:r>
        <w:t xml:space="preserve"> </w:t>
      </w:r>
      <w:r w:rsidR="009575A5" w:rsidRPr="009575A5">
        <w:t>portal about the fulfilment of investments and projects planned by the Italian central government and by the Italian Regions with the 2007­2013 European Cohesion funds</w:t>
      </w:r>
      <w:r w:rsidR="009575A5">
        <w:t xml:space="preserve">, see: </w:t>
      </w:r>
      <w:r w:rsidRPr="008E3D98">
        <w:t>http://www.opencoesione.gov.it/progetto/en/</w:t>
      </w:r>
    </w:p>
  </w:footnote>
  <w:footnote w:id="2">
    <w:p w:rsidR="008E3D98" w:rsidRPr="00F163D5" w:rsidRDefault="008E3D98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8E3D98">
        <w:t>http://www.ushahidi.com/</w:t>
      </w:r>
    </w:p>
  </w:footnote>
  <w:footnote w:id="3">
    <w:p w:rsidR="008E3D98" w:rsidRPr="00F163D5" w:rsidRDefault="008E3D98" w:rsidP="008E3D98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8E3D98">
        <w:t>http://www.monithon.it/</w:t>
      </w:r>
    </w:p>
  </w:footnote>
  <w:footnote w:id="4">
    <w:p w:rsidR="006C51DA" w:rsidRPr="006C51DA" w:rsidRDefault="006C51DA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F</w:t>
      </w:r>
      <w:r w:rsidRPr="006C51DA">
        <w:rPr>
          <w:lang w:val="en-GB"/>
        </w:rPr>
        <w:t xml:space="preserve">or further </w:t>
      </w:r>
      <w:r>
        <w:rPr>
          <w:lang w:val="en-GB"/>
        </w:rPr>
        <w:t>information r</w:t>
      </w:r>
      <w:r>
        <w:rPr>
          <w:lang w:val="en-GB"/>
        </w:rPr>
        <w:t>efer to the original article</w:t>
      </w:r>
      <w:r w:rsidRPr="006C51DA">
        <w:rPr>
          <w:lang w:val="en-GB"/>
        </w:rPr>
        <w:t>: http://porto.polito.it/2561746/1/OpenCoesioneAndMonithon_Samos_Final.pdf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B37CC"/>
    <w:multiLevelType w:val="multilevel"/>
    <w:tmpl w:val="8D32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170BA"/>
    <w:multiLevelType w:val="hybridMultilevel"/>
    <w:tmpl w:val="E1F04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164D46D5"/>
    <w:multiLevelType w:val="multilevel"/>
    <w:tmpl w:val="3BFE0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9132A9"/>
    <w:multiLevelType w:val="hybridMultilevel"/>
    <w:tmpl w:val="53AA0B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B113E"/>
    <w:multiLevelType w:val="multilevel"/>
    <w:tmpl w:val="5460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0D70D6"/>
    <w:multiLevelType w:val="hybridMultilevel"/>
    <w:tmpl w:val="15AE0D8A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10666D0"/>
    <w:multiLevelType w:val="hybridMultilevel"/>
    <w:tmpl w:val="21BECFA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3D23F5"/>
    <w:multiLevelType w:val="hybridMultilevel"/>
    <w:tmpl w:val="50C2B8B2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8DD298E"/>
    <w:multiLevelType w:val="hybridMultilevel"/>
    <w:tmpl w:val="A4865760"/>
    <w:lvl w:ilvl="0" w:tplc="B1300B94">
      <w:numFmt w:val="bullet"/>
      <w:lvlText w:val="-"/>
      <w:lvlJc w:val="left"/>
      <w:pPr>
        <w:ind w:left="1065" w:hanging="705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276FC3"/>
    <w:multiLevelType w:val="multilevel"/>
    <w:tmpl w:val="C76C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353421"/>
    <w:multiLevelType w:val="hybridMultilevel"/>
    <w:tmpl w:val="3996848E"/>
    <w:lvl w:ilvl="0" w:tplc="B1300B94">
      <w:numFmt w:val="bullet"/>
      <w:lvlText w:val="-"/>
      <w:lvlJc w:val="left"/>
      <w:pPr>
        <w:ind w:left="1425" w:hanging="705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1B43457"/>
    <w:multiLevelType w:val="hybridMultilevel"/>
    <w:tmpl w:val="5588CD9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52446F"/>
    <w:multiLevelType w:val="hybridMultilevel"/>
    <w:tmpl w:val="C720AC92"/>
    <w:lvl w:ilvl="0" w:tplc="08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>
    <w:nsid w:val="5AC44E51"/>
    <w:multiLevelType w:val="hybridMultilevel"/>
    <w:tmpl w:val="1DE2E00E"/>
    <w:lvl w:ilvl="0" w:tplc="BEB4770A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395658"/>
    <w:multiLevelType w:val="hybridMultilevel"/>
    <w:tmpl w:val="DE1EBA98"/>
    <w:lvl w:ilvl="0" w:tplc="A7E6A00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633778"/>
    <w:multiLevelType w:val="hybridMultilevel"/>
    <w:tmpl w:val="B05075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326C1E"/>
    <w:multiLevelType w:val="hybridMultilevel"/>
    <w:tmpl w:val="241E0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096460"/>
    <w:multiLevelType w:val="hybridMultilevel"/>
    <w:tmpl w:val="F544FD0E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>
      <w:start w:val="1"/>
      <w:numFmt w:val="lowerLetter"/>
      <w:lvlText w:val="%5."/>
      <w:lvlJc w:val="left"/>
      <w:pPr>
        <w:ind w:left="3240" w:hanging="360"/>
      </w:pPr>
    </w:lvl>
    <w:lvl w:ilvl="5" w:tplc="0813001B">
      <w:start w:val="1"/>
      <w:numFmt w:val="lowerRoman"/>
      <w:lvlText w:val="%6."/>
      <w:lvlJc w:val="right"/>
      <w:pPr>
        <w:ind w:left="3960" w:hanging="180"/>
      </w:pPr>
    </w:lvl>
    <w:lvl w:ilvl="6" w:tplc="0813000F">
      <w:start w:val="1"/>
      <w:numFmt w:val="decimal"/>
      <w:lvlText w:val="%7."/>
      <w:lvlJc w:val="left"/>
      <w:pPr>
        <w:ind w:left="4680" w:hanging="360"/>
      </w:pPr>
    </w:lvl>
    <w:lvl w:ilvl="7" w:tplc="08130019">
      <w:start w:val="1"/>
      <w:numFmt w:val="lowerLetter"/>
      <w:lvlText w:val="%8."/>
      <w:lvlJc w:val="left"/>
      <w:pPr>
        <w:ind w:left="5400" w:hanging="360"/>
      </w:pPr>
    </w:lvl>
    <w:lvl w:ilvl="8" w:tplc="0813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4716289"/>
    <w:multiLevelType w:val="multilevel"/>
    <w:tmpl w:val="F1BC5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8"/>
  </w:num>
  <w:num w:numId="17">
    <w:abstractNumId w:val="6"/>
  </w:num>
  <w:num w:numId="18">
    <w:abstractNumId w:val="19"/>
  </w:num>
  <w:num w:numId="19">
    <w:abstractNumId w:val="5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4"/>
  </w:num>
  <w:num w:numId="26">
    <w:abstractNumId w:val="16"/>
  </w:num>
  <w:num w:numId="27">
    <w:abstractNumId w:val="12"/>
  </w:num>
  <w:num w:numId="28">
    <w:abstractNumId w:val="7"/>
  </w:num>
  <w:num w:numId="29">
    <w:abstractNumId w:val="14"/>
  </w:num>
  <w:num w:numId="30">
    <w:abstractNumId w:val="2"/>
  </w:num>
  <w:num w:numId="31">
    <w:abstractNumId w:val="2"/>
  </w:num>
  <w:num w:numId="32">
    <w:abstractNumId w:val="17"/>
  </w:num>
  <w:num w:numId="33">
    <w:abstractNumId w:val="10"/>
  </w:num>
  <w:num w:numId="34">
    <w:abstractNumId w:val="3"/>
  </w:num>
  <w:num w:numId="35">
    <w:abstractNumId w:val="2"/>
  </w:num>
  <w:num w:numId="36">
    <w:abstractNumId w:val="2"/>
  </w:num>
  <w:num w:numId="37">
    <w:abstractNumId w:val="0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13"/>
  </w:num>
  <w:num w:numId="43">
    <w:abstractNumId w:val="1"/>
  </w:num>
  <w:num w:numId="44">
    <w:abstractNumId w:val="9"/>
  </w:num>
  <w:num w:numId="45">
    <w:abstractNumId w:val="11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D90"/>
    <w:rsid w:val="0001297D"/>
    <w:rsid w:val="00025E8D"/>
    <w:rsid w:val="000315DA"/>
    <w:rsid w:val="00094EF1"/>
    <w:rsid w:val="000C60F5"/>
    <w:rsid w:val="000D2DD4"/>
    <w:rsid w:val="000E097B"/>
    <w:rsid w:val="00151472"/>
    <w:rsid w:val="00164EF8"/>
    <w:rsid w:val="001C286F"/>
    <w:rsid w:val="001D0A0B"/>
    <w:rsid w:val="001E0DBC"/>
    <w:rsid w:val="002F4DB5"/>
    <w:rsid w:val="003266CE"/>
    <w:rsid w:val="00353311"/>
    <w:rsid w:val="00356EB0"/>
    <w:rsid w:val="003B24C7"/>
    <w:rsid w:val="003B27C9"/>
    <w:rsid w:val="003C0871"/>
    <w:rsid w:val="003E65DE"/>
    <w:rsid w:val="003F7D25"/>
    <w:rsid w:val="0043660C"/>
    <w:rsid w:val="00497629"/>
    <w:rsid w:val="004B458F"/>
    <w:rsid w:val="004D195C"/>
    <w:rsid w:val="004F2768"/>
    <w:rsid w:val="00522941"/>
    <w:rsid w:val="0057162A"/>
    <w:rsid w:val="0058249C"/>
    <w:rsid w:val="005D6AEB"/>
    <w:rsid w:val="005E5082"/>
    <w:rsid w:val="005E650A"/>
    <w:rsid w:val="006145BA"/>
    <w:rsid w:val="00663EA3"/>
    <w:rsid w:val="00667B7F"/>
    <w:rsid w:val="0067275D"/>
    <w:rsid w:val="00677934"/>
    <w:rsid w:val="0069086B"/>
    <w:rsid w:val="006C51DA"/>
    <w:rsid w:val="006D0243"/>
    <w:rsid w:val="00704222"/>
    <w:rsid w:val="007410EB"/>
    <w:rsid w:val="00753B73"/>
    <w:rsid w:val="007556DE"/>
    <w:rsid w:val="00776FB9"/>
    <w:rsid w:val="007E123B"/>
    <w:rsid w:val="007E4771"/>
    <w:rsid w:val="007E5FD8"/>
    <w:rsid w:val="007E610C"/>
    <w:rsid w:val="0080353B"/>
    <w:rsid w:val="008063A0"/>
    <w:rsid w:val="00811F65"/>
    <w:rsid w:val="00837B84"/>
    <w:rsid w:val="00837EC5"/>
    <w:rsid w:val="00850791"/>
    <w:rsid w:val="008858A5"/>
    <w:rsid w:val="008A6F72"/>
    <w:rsid w:val="008E11A8"/>
    <w:rsid w:val="008E3D98"/>
    <w:rsid w:val="0093138A"/>
    <w:rsid w:val="00953F39"/>
    <w:rsid w:val="009575A5"/>
    <w:rsid w:val="00957EAF"/>
    <w:rsid w:val="00962C40"/>
    <w:rsid w:val="009E5E12"/>
    <w:rsid w:val="00A04169"/>
    <w:rsid w:val="00AB4A0A"/>
    <w:rsid w:val="00AC6DC8"/>
    <w:rsid w:val="00B12D90"/>
    <w:rsid w:val="00B62AE3"/>
    <w:rsid w:val="00B661D9"/>
    <w:rsid w:val="00BC6C48"/>
    <w:rsid w:val="00BF06C3"/>
    <w:rsid w:val="00BF411D"/>
    <w:rsid w:val="00BF5E50"/>
    <w:rsid w:val="00C65344"/>
    <w:rsid w:val="00CA7F6A"/>
    <w:rsid w:val="00CE4DA8"/>
    <w:rsid w:val="00D71355"/>
    <w:rsid w:val="00D83881"/>
    <w:rsid w:val="00D96D9A"/>
    <w:rsid w:val="00E00CBC"/>
    <w:rsid w:val="00E335AE"/>
    <w:rsid w:val="00E56684"/>
    <w:rsid w:val="00E9315F"/>
    <w:rsid w:val="00EF47D3"/>
    <w:rsid w:val="00F05DAB"/>
    <w:rsid w:val="00F163D5"/>
    <w:rsid w:val="00F8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/>
    </w:rPr>
  </w:style>
  <w:style w:type="character" w:styleId="Strong">
    <w:name w:val="Strong"/>
    <w:basedOn w:val="DefaultParagraphFont"/>
    <w:uiPriority w:val="22"/>
    <w:qFormat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00000" w:themeColor="text1"/>
      <w:shd w:val="clear" w:color="auto" w:fill="F2F2F2" w:themeFill="background1" w:themeFillShade="F2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 w:val="0"/>
      <w:bCs w:val="0"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E6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character" w:customStyle="1" w:styleId="apple-converted-space">
    <w:name w:val="apple-converted-space"/>
    <w:basedOn w:val="DefaultParagraphFont"/>
    <w:rsid w:val="007556DE"/>
  </w:style>
  <w:style w:type="character" w:styleId="Hyperlink">
    <w:name w:val="Hyperlink"/>
    <w:basedOn w:val="DefaultParagraphFont"/>
    <w:uiPriority w:val="99"/>
    <w:unhideWhenUsed/>
    <w:rsid w:val="007556D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68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3D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3D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3D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/>
    </w:rPr>
  </w:style>
  <w:style w:type="character" w:styleId="Strong">
    <w:name w:val="Strong"/>
    <w:basedOn w:val="DefaultParagraphFont"/>
    <w:uiPriority w:val="22"/>
    <w:qFormat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00000" w:themeColor="text1"/>
      <w:shd w:val="clear" w:color="auto" w:fill="F2F2F2" w:themeFill="background1" w:themeFillShade="F2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 w:val="0"/>
      <w:bCs w:val="0"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E6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character" w:customStyle="1" w:styleId="apple-converted-space">
    <w:name w:val="apple-converted-space"/>
    <w:basedOn w:val="DefaultParagraphFont"/>
    <w:rsid w:val="007556DE"/>
  </w:style>
  <w:style w:type="character" w:styleId="Hyperlink">
    <w:name w:val="Hyperlink"/>
    <w:basedOn w:val="DefaultParagraphFont"/>
    <w:uiPriority w:val="99"/>
    <w:unhideWhenUsed/>
    <w:rsid w:val="007556D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68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3D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3D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3D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luigireggi.eu/about/" TargetMode="Externa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herno\AppData\Roaming\Microsoft\Sjablonen\Rapport-ontwerp%20(leeg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725FDD-C2FB-4E5C-875B-856056F5D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Rapport-ontwerp (leeg).dotx</Template>
  <TotalTime>7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Herreweghe, Noel</dc:creator>
  <cp:lastModifiedBy>Lorenzo Canova</cp:lastModifiedBy>
  <cp:revision>2</cp:revision>
  <cp:lastPrinted>2015-05-10T21:39:00Z</cp:lastPrinted>
  <dcterms:created xsi:type="dcterms:W3CDTF">2015-05-10T23:47:00Z</dcterms:created>
  <dcterms:modified xsi:type="dcterms:W3CDTF">2015-05-10T23:47:00Z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