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5B" w:rsidRDefault="0053135B" w:rsidP="007E610C">
      <w:pPr>
        <w:pStyle w:val="berschrift1"/>
        <w:numPr>
          <w:ilvl w:val="0"/>
          <w:numId w:val="0"/>
        </w:numPr>
        <w:rPr>
          <w:lang w:val="en-GB"/>
        </w:rPr>
      </w:pPr>
      <w:bookmarkStart w:id="0" w:name="_GoBack"/>
      <w:bookmarkEnd w:id="0"/>
      <w:r>
        <w:rPr>
          <w:noProof/>
          <w:lang w:val="de-AT" w:eastAsia="de-AT"/>
        </w:rPr>
        <w:drawing>
          <wp:inline distT="0" distB="0" distL="0" distR="0" wp14:anchorId="386C5336" wp14:editId="23085BF4">
            <wp:extent cx="5943600" cy="106299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Title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Raising awareness and engaging citizens in re-using PSI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Short Description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This best practice aims at presenting ways to enhance citizen participation  and open data utilisation by the society and interested entreprises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Why?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Although PSI is a large market in Europe it is estimated that less than 50% of citizens at average are impacted by it. Loads of pre-existing investments in e-Government back-offices, in platforms and services are available across Europe and they are deploying a wide set of services, but in most cases efforts are duplicated, there’s little to no reuse of e-Government data, and obsolete technologies are still put in place.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 xml:space="preserve">Governments have been investing in publishing considerable amounts of data and in modernisation of administration through e-Government services for, in some cases, more than 5 years. 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A legitimate question is “What is the impact on citizens, in reusing available electronic data and services and how we can engage them in the process and the respective systems ?”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Intended Outcome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This best practice aims at increasing citizen / entreprises awareness on existing PSI and engage them in its usage.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Relationship to PSI-Directive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Possible Approach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The approach consists of 10 ways to increase citizens / entreprises participation around PSI and open data: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#1: Give them a home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lastRenderedPageBreak/>
        <w:t>An open data portal has to offer the ability to citizens / users to create and maintain a profile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#2: Make them customers / Create an Open Data marketplace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When a citizen cannot find the dataset he is looking  for, he can put a request that is channeled to the appropriate administration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#3: Make them opendata publishers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Allow for upload of datasets by users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#4: Allow working on datasets / make them curators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A dataset can be processed by a user and then republished as a new version.  Datasets can be visualised, extended, linked by users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#5: Give them incentives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- Measure and publish popularity of the users, based on their activity.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- Give incentives for data usage / utilisation (e.g. free tickets to community events, free parking, to most prominent users)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- Organisation of competitions / datathons with prizes for the best applications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- Organisation of data journalism competitions  for users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#6: Involve them upfront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Organise meetings of interest groups (e.g. finance, environment, etc) among interested citizens and entreprises. Use questionnaires, for initial screening of ideas and people.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#7: Provide specific support for entreprises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Companies have different viewpoint than citizens: they need data quality, availabiliity, support, etc.  So, provide something like that for companies and utilisation will be higher.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#8: Promote the creation of journalism teams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People might want to “tell a story” acting like data journalists within the local communities, but they might not have the skills needed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So, make small groups among citizens to work around open data, generating small or larger stories.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Way #9: Provide training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Citizens without the proper knowledge cannot take advantage of incentives targeting more advanced people.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So, invest in training citizens on basic digital skills (make a web site, work with a dataset, write a story, etc)</w:t>
      </w:r>
    </w:p>
    <w:p w:rsidR="0053135B" w:rsidRDefault="0053135B" w:rsidP="000E7D77">
      <w:pPr>
        <w:rPr>
          <w:lang w:val="en-GB"/>
        </w:rPr>
      </w:pP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lastRenderedPageBreak/>
        <w:t>How to Test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The positive results will be shown as: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- Increase of visitors in open data web sites / portals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- Increase of downloads of open datasets</w:t>
      </w:r>
    </w:p>
    <w:p w:rsidR="0053135B" w:rsidRPr="00327997" w:rsidRDefault="0053135B" w:rsidP="00AB0FD7">
      <w:pPr>
        <w:rPr>
          <w:noProof/>
          <w:lang w:val="en-GB"/>
        </w:rPr>
      </w:pPr>
      <w:r w:rsidRPr="00327997">
        <w:rPr>
          <w:noProof/>
          <w:lang w:val="en-GB"/>
        </w:rPr>
        <w:t>- Increase in development and usage of opendata-based applications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- Increased overall satisfaction by the governmental services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Evidence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The majority of the proposed ways has been implemented and can be viewed at the ENGAGE project open data portal: www.engagedata.eu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Tags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citizen engagement, PSI reuse by citizens, PSI reuse by entreprises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Status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Stable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Intended Audience</w:t>
      </w:r>
    </w:p>
    <w:p w:rsidR="0053135B" w:rsidRDefault="0053135B" w:rsidP="000E7D77">
      <w:pPr>
        <w:rPr>
          <w:lang w:val="en-GB"/>
        </w:rPr>
      </w:pPr>
      <w:r w:rsidRPr="00327997">
        <w:rPr>
          <w:noProof/>
          <w:lang w:val="en-GB"/>
        </w:rPr>
        <w:t>Senior officials, strategy makers, marketing officials, application developers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Related Best Practice</w:t>
      </w:r>
    </w:p>
    <w:p w:rsidR="0053135B" w:rsidRDefault="0053135B" w:rsidP="0053135B">
      <w:pPr>
        <w:pStyle w:val="berschrift1"/>
        <w:numPr>
          <w:ilvl w:val="0"/>
          <w:numId w:val="1"/>
        </w:numPr>
        <w:rPr>
          <w:lang w:val="en-GB"/>
        </w:rPr>
      </w:pPr>
      <w:r>
        <w:rPr>
          <w:lang w:val="en-GB"/>
        </w:rPr>
        <w:t>Contact</w:t>
      </w:r>
    </w:p>
    <w:p w:rsidR="0053135B" w:rsidRDefault="0053135B" w:rsidP="000E7D77">
      <w:pPr>
        <w:rPr>
          <w:lang w:val="en-GB"/>
        </w:rPr>
        <w:sectPr w:rsidR="0053135B" w:rsidSect="0053135B">
          <w:pgSz w:w="12240" w:h="15840"/>
          <w:pgMar w:top="851" w:right="1440" w:bottom="1440" w:left="1440" w:header="720" w:footer="720" w:gutter="0"/>
          <w:pgNumType w:start="1"/>
          <w:cols w:space="720"/>
        </w:sectPr>
      </w:pPr>
      <w:r w:rsidRPr="00327997">
        <w:rPr>
          <w:noProof/>
          <w:lang w:val="en-GB"/>
        </w:rPr>
        <w:t>Yannis Charalabidis</w:t>
      </w:r>
    </w:p>
    <w:p w:rsidR="0053135B" w:rsidRPr="000E7D77" w:rsidRDefault="0053135B" w:rsidP="000E7D77">
      <w:pPr>
        <w:rPr>
          <w:lang w:val="en-GB"/>
        </w:rPr>
      </w:pPr>
    </w:p>
    <w:sectPr w:rsidR="0053135B" w:rsidRPr="000E7D77" w:rsidSect="0053135B">
      <w:type w:val="continuous"/>
      <w:pgSz w:w="12240" w:h="15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37CC"/>
    <w:multiLevelType w:val="multilevel"/>
    <w:tmpl w:val="8D32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170BA"/>
    <w:multiLevelType w:val="hybridMultilevel"/>
    <w:tmpl w:val="E1F0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2775B"/>
    <w:multiLevelType w:val="multilevel"/>
    <w:tmpl w:val="0EBA3C4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>
    <w:nsid w:val="164D46D5"/>
    <w:multiLevelType w:val="multilevel"/>
    <w:tmpl w:val="3BF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132A9"/>
    <w:multiLevelType w:val="hybridMultilevel"/>
    <w:tmpl w:val="53AA0B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B113E"/>
    <w:multiLevelType w:val="multilevel"/>
    <w:tmpl w:val="546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D70D6"/>
    <w:multiLevelType w:val="hybridMultilevel"/>
    <w:tmpl w:val="15AE0D8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10666D0"/>
    <w:multiLevelType w:val="hybridMultilevel"/>
    <w:tmpl w:val="21BECF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D23F5"/>
    <w:multiLevelType w:val="hybridMultilevel"/>
    <w:tmpl w:val="50C2B8B2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DD298E"/>
    <w:multiLevelType w:val="hybridMultilevel"/>
    <w:tmpl w:val="A4865760"/>
    <w:lvl w:ilvl="0" w:tplc="B1300B94">
      <w:numFmt w:val="bullet"/>
      <w:lvlText w:val="-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76FC3"/>
    <w:multiLevelType w:val="multilevel"/>
    <w:tmpl w:val="C76C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353421"/>
    <w:multiLevelType w:val="hybridMultilevel"/>
    <w:tmpl w:val="3996848E"/>
    <w:lvl w:ilvl="0" w:tplc="B1300B94">
      <w:numFmt w:val="bullet"/>
      <w:lvlText w:val="-"/>
      <w:lvlJc w:val="left"/>
      <w:pPr>
        <w:ind w:left="1425" w:hanging="705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B43457"/>
    <w:multiLevelType w:val="hybridMultilevel"/>
    <w:tmpl w:val="5588CD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2446F"/>
    <w:multiLevelType w:val="hybridMultilevel"/>
    <w:tmpl w:val="C720AC92"/>
    <w:lvl w:ilvl="0" w:tplc="08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5AC44E51"/>
    <w:multiLevelType w:val="hybridMultilevel"/>
    <w:tmpl w:val="1DE2E00E"/>
    <w:lvl w:ilvl="0" w:tplc="BEB4770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633778"/>
    <w:multiLevelType w:val="hybridMultilevel"/>
    <w:tmpl w:val="B05075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26C1E"/>
    <w:multiLevelType w:val="hybridMultilevel"/>
    <w:tmpl w:val="241E0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096460"/>
    <w:multiLevelType w:val="hybridMultilevel"/>
    <w:tmpl w:val="F544FD0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716289"/>
    <w:multiLevelType w:val="multilevel"/>
    <w:tmpl w:val="F1BC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  <w:num w:numId="17">
    <w:abstractNumId w:val="6"/>
  </w:num>
  <w:num w:numId="18">
    <w:abstractNumId w:val="18"/>
  </w:num>
  <w:num w:numId="19">
    <w:abstractNumId w:val="5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4"/>
  </w:num>
  <w:num w:numId="26">
    <w:abstractNumId w:val="15"/>
  </w:num>
  <w:num w:numId="27">
    <w:abstractNumId w:val="12"/>
  </w:num>
  <w:num w:numId="28">
    <w:abstractNumId w:val="7"/>
  </w:num>
  <w:num w:numId="29">
    <w:abstractNumId w:val="14"/>
  </w:num>
  <w:num w:numId="30">
    <w:abstractNumId w:val="2"/>
  </w:num>
  <w:num w:numId="31">
    <w:abstractNumId w:val="2"/>
  </w:num>
  <w:num w:numId="32">
    <w:abstractNumId w:val="16"/>
  </w:num>
  <w:num w:numId="33">
    <w:abstractNumId w:val="10"/>
  </w:num>
  <w:num w:numId="34">
    <w:abstractNumId w:val="3"/>
  </w:num>
  <w:num w:numId="35">
    <w:abstractNumId w:val="2"/>
  </w:num>
  <w:num w:numId="36">
    <w:abstractNumId w:val="2"/>
  </w:num>
  <w:num w:numId="37">
    <w:abstractNumId w:val="0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13"/>
  </w:num>
  <w:num w:numId="43">
    <w:abstractNumId w:val="1"/>
  </w:num>
  <w:num w:numId="44">
    <w:abstractNumId w:val="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90"/>
    <w:rsid w:val="0001297D"/>
    <w:rsid w:val="00025E8D"/>
    <w:rsid w:val="00094EF1"/>
    <w:rsid w:val="000C60F5"/>
    <w:rsid w:val="000D2DD4"/>
    <w:rsid w:val="000E097B"/>
    <w:rsid w:val="000E7D77"/>
    <w:rsid w:val="00117BD9"/>
    <w:rsid w:val="00151472"/>
    <w:rsid w:val="00164EF8"/>
    <w:rsid w:val="001D0A0B"/>
    <w:rsid w:val="001E0DBC"/>
    <w:rsid w:val="002F4DB5"/>
    <w:rsid w:val="00353311"/>
    <w:rsid w:val="00356EB0"/>
    <w:rsid w:val="003B24C7"/>
    <w:rsid w:val="003B27C9"/>
    <w:rsid w:val="003E65DE"/>
    <w:rsid w:val="003F7D25"/>
    <w:rsid w:val="00497629"/>
    <w:rsid w:val="004D195C"/>
    <w:rsid w:val="00522941"/>
    <w:rsid w:val="0053135B"/>
    <w:rsid w:val="0057162A"/>
    <w:rsid w:val="0058249C"/>
    <w:rsid w:val="005D6AEB"/>
    <w:rsid w:val="005E650A"/>
    <w:rsid w:val="006145BA"/>
    <w:rsid w:val="00667B7F"/>
    <w:rsid w:val="0067275D"/>
    <w:rsid w:val="0069086B"/>
    <w:rsid w:val="006D0243"/>
    <w:rsid w:val="00704222"/>
    <w:rsid w:val="007410EB"/>
    <w:rsid w:val="007556DE"/>
    <w:rsid w:val="00776FB9"/>
    <w:rsid w:val="007E123B"/>
    <w:rsid w:val="007E4771"/>
    <w:rsid w:val="007E5FD8"/>
    <w:rsid w:val="007E610C"/>
    <w:rsid w:val="0080353B"/>
    <w:rsid w:val="00837B84"/>
    <w:rsid w:val="00837EC5"/>
    <w:rsid w:val="00850791"/>
    <w:rsid w:val="008858A5"/>
    <w:rsid w:val="008A18D4"/>
    <w:rsid w:val="008A6F72"/>
    <w:rsid w:val="0093138A"/>
    <w:rsid w:val="00953F39"/>
    <w:rsid w:val="00962C40"/>
    <w:rsid w:val="009E5E12"/>
    <w:rsid w:val="00B12D90"/>
    <w:rsid w:val="00B3604F"/>
    <w:rsid w:val="00B62AE3"/>
    <w:rsid w:val="00B916B8"/>
    <w:rsid w:val="00BC6C48"/>
    <w:rsid w:val="00BF411D"/>
    <w:rsid w:val="00BF5E50"/>
    <w:rsid w:val="00C65344"/>
    <w:rsid w:val="00CE4DA8"/>
    <w:rsid w:val="00D71355"/>
    <w:rsid w:val="00D83881"/>
    <w:rsid w:val="00D96D9A"/>
    <w:rsid w:val="00E00CBC"/>
    <w:rsid w:val="00E335AE"/>
    <w:rsid w:val="00EF47D3"/>
    <w:rsid w:val="00F05DAB"/>
    <w:rsid w:val="00F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aps/>
    </w:rPr>
  </w:style>
  <w:style w:type="character" w:styleId="Fett">
    <w:name w:val="Strong"/>
    <w:basedOn w:val="Absatz-Standardschriftart"/>
    <w:uiPriority w:val="22"/>
    <w:qFormat/>
    <w:rPr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color w:val="000000" w:themeColor="text1"/>
      <w:shd w:val="clear" w:color="auto" w:fill="F2F2F2" w:themeFill="background1" w:themeFillShade="F2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Pr>
      <w:b w:val="0"/>
      <w:bCs w:val="0"/>
      <w:smallCap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E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apple-converted-space">
    <w:name w:val="apple-converted-space"/>
    <w:basedOn w:val="Absatz-Standardschriftart"/>
    <w:rsid w:val="007556DE"/>
  </w:style>
  <w:style w:type="character" w:styleId="Hyperlink">
    <w:name w:val="Hyperlink"/>
    <w:basedOn w:val="Absatz-Standardschriftart"/>
    <w:uiPriority w:val="99"/>
    <w:unhideWhenUsed/>
    <w:rsid w:val="007556D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Pr>
      <w:b/>
      <w:bCs/>
      <w:i/>
      <w:iCs/>
      <w:caps/>
    </w:rPr>
  </w:style>
  <w:style w:type="character" w:styleId="Fett">
    <w:name w:val="Strong"/>
    <w:basedOn w:val="Absatz-Standardschriftart"/>
    <w:uiPriority w:val="22"/>
    <w:qFormat/>
    <w:rPr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color w:val="000000" w:themeColor="text1"/>
      <w:shd w:val="clear" w:color="auto" w:fill="F2F2F2" w:themeFill="background1" w:themeFillShade="F2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Pr>
      <w:b w:val="0"/>
      <w:bCs w:val="0"/>
      <w:smallCap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E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apple-converted-space">
    <w:name w:val="apple-converted-space"/>
    <w:basedOn w:val="Absatz-Standardschriftart"/>
    <w:rsid w:val="007556DE"/>
  </w:style>
  <w:style w:type="character" w:styleId="Hyperlink">
    <w:name w:val="Hyperlink"/>
    <w:basedOn w:val="Absatz-Standardschriftart"/>
    <w:uiPriority w:val="99"/>
    <w:unhideWhenUsed/>
    <w:rsid w:val="007556D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herno\AppData\Roaming\Microsoft\Sjablonen\Rapport-ontwerp%20(leeg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A1773-FDCA-4824-ADE4-8237F2BB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Rapport-ontwerp (leeg).dotx</Template>
  <TotalTime>0</TotalTime>
  <Pages>3</Pages>
  <Words>530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Herreweghe, Noel</dc:creator>
  <cp:lastModifiedBy>Johann Höchtl</cp:lastModifiedBy>
  <cp:revision>1</cp:revision>
  <dcterms:created xsi:type="dcterms:W3CDTF">2015-05-21T15:15:00Z</dcterms:created>
  <dcterms:modified xsi:type="dcterms:W3CDTF">2015-05-21T15:17:00Z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