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2A" w:rsidRDefault="0057162A" w:rsidP="007E610C">
      <w:pPr>
        <w:pStyle w:val="Heading1"/>
        <w:numPr>
          <w:ilvl w:val="0"/>
          <w:numId w:val="0"/>
        </w:num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386C5336" wp14:editId="23085BF4">
            <wp:extent cx="5943600" cy="10629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62A" w:rsidRDefault="00196C16" w:rsidP="007E610C">
      <w:pPr>
        <w:pStyle w:val="Heading1"/>
        <w:numPr>
          <w:ilvl w:val="0"/>
          <w:numId w:val="0"/>
        </w:numPr>
        <w:rPr>
          <w:lang w:val="en-GB"/>
        </w:rPr>
      </w:pPr>
      <w:r>
        <w:rPr>
          <w:noProof/>
          <w:lang w:val="en-GB" w:eastAsia="nl-BE"/>
        </w:rPr>
        <w:t>Samos Workshop: Uses of Open Data Within Government for Innovation and Efficiency</w:t>
      </w:r>
      <w:r w:rsidR="0057162A" w:rsidRPr="00837B84">
        <w:rPr>
          <w:lang w:val="en-GB"/>
        </w:rPr>
        <w:t xml:space="preserve"> </w:t>
      </w:r>
    </w:p>
    <w:p w:rsidR="00776FB9" w:rsidRPr="007E610C" w:rsidRDefault="007E5FD8" w:rsidP="007E610C">
      <w:pPr>
        <w:pStyle w:val="Heading1"/>
        <w:numPr>
          <w:ilvl w:val="0"/>
          <w:numId w:val="0"/>
        </w:numPr>
        <w:rPr>
          <w:lang w:val="en-GB"/>
        </w:rPr>
      </w:pPr>
      <w:r>
        <w:rPr>
          <w:lang w:val="en-GB"/>
        </w:rPr>
        <w:t xml:space="preserve">Title of the Best Practice: </w:t>
      </w:r>
      <w:r w:rsidR="00317E98">
        <w:rPr>
          <w:lang w:val="en-GB"/>
        </w:rPr>
        <w:t>Boosting citizens’ awareness through the reuse of existing resources (existing stocks of PSI, networks of interactive display nodes)</w:t>
      </w:r>
    </w:p>
    <w:p w:rsidR="00776FB9" w:rsidRDefault="007E610C">
      <w:pPr>
        <w:pStyle w:val="Heading1"/>
      </w:pPr>
      <w:r>
        <w:t>Outline of the best practice</w:t>
      </w:r>
    </w:p>
    <w:p w:rsidR="00317E98" w:rsidRPr="00AC3B6F" w:rsidRDefault="00317E98" w:rsidP="00C971D9">
      <w:pPr>
        <w:jc w:val="both"/>
        <w:rPr>
          <w:rFonts w:cs="Arial"/>
          <w:bCs/>
          <w:szCs w:val="20"/>
        </w:rPr>
      </w:pPr>
      <w:r>
        <w:rPr>
          <w:rFonts w:cs="Arial"/>
        </w:rPr>
        <w:t xml:space="preserve">Although </w:t>
      </w:r>
      <w:r w:rsidRPr="00AC3B6F">
        <w:rPr>
          <w:rFonts w:cs="Arial"/>
        </w:rPr>
        <w:t>P</w:t>
      </w:r>
      <w:r>
        <w:rPr>
          <w:rFonts w:cs="Arial"/>
        </w:rPr>
        <w:t xml:space="preserve">ublic Sector Information (PSI) </w:t>
      </w:r>
      <w:r w:rsidRPr="00AC3B6F">
        <w:rPr>
          <w:rFonts w:cs="Arial"/>
        </w:rPr>
        <w:t xml:space="preserve">is a large market in Europe, </w:t>
      </w:r>
      <w:r>
        <w:rPr>
          <w:rFonts w:cs="Arial"/>
        </w:rPr>
        <w:t xml:space="preserve">through large </w:t>
      </w:r>
      <w:r w:rsidRPr="00AC3B6F">
        <w:rPr>
          <w:rFonts w:cs="Arial"/>
        </w:rPr>
        <w:t>investments  in  e-Government  back-offi</w:t>
      </w:r>
      <w:r>
        <w:rPr>
          <w:rFonts w:cs="Arial"/>
        </w:rPr>
        <w:t xml:space="preserve">ces,  platforms  and  services </w:t>
      </w:r>
      <w:r w:rsidRPr="00AC3B6F">
        <w:rPr>
          <w:rFonts w:cs="Arial"/>
        </w:rPr>
        <w:t>, de</w:t>
      </w:r>
      <w:r>
        <w:rPr>
          <w:rFonts w:cs="Arial"/>
        </w:rPr>
        <w:t xml:space="preserve">ploying a wide set of services, </w:t>
      </w:r>
      <w:r w:rsidRPr="00AC3B6F">
        <w:rPr>
          <w:rFonts w:cs="Arial"/>
        </w:rPr>
        <w:t>in most cases efforts are duplicated, little to no reuse of e-Government data  and  information  is  implemented and obsolete technologies are still put in place.</w:t>
      </w:r>
    </w:p>
    <w:p w:rsidR="0080353B" w:rsidRPr="00C971D9" w:rsidRDefault="00326BB7" w:rsidP="00C971D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723181">
        <w:rPr>
          <w:rFonts w:cs="Arial"/>
          <w:szCs w:val="20"/>
        </w:rPr>
        <w:t>he</w:t>
      </w:r>
      <w:r w:rsidR="00317E98" w:rsidRPr="00AC3B6F">
        <w:rPr>
          <w:rFonts w:cs="Arial"/>
          <w:szCs w:val="20"/>
        </w:rPr>
        <w:t xml:space="preserve"> reuse </w:t>
      </w:r>
      <w:r w:rsidR="00723181">
        <w:rPr>
          <w:rFonts w:cs="Arial"/>
          <w:szCs w:val="20"/>
        </w:rPr>
        <w:t xml:space="preserve">of pre-existing investments in PSI stocks (at different levels, </w:t>
      </w:r>
      <w:r w:rsidR="00317E98" w:rsidRPr="00AC3B6F">
        <w:rPr>
          <w:rFonts w:cs="Arial"/>
          <w:szCs w:val="20"/>
        </w:rPr>
        <w:t>European, n</w:t>
      </w:r>
      <w:r w:rsidR="00723181">
        <w:rPr>
          <w:rFonts w:cs="Arial"/>
          <w:szCs w:val="20"/>
        </w:rPr>
        <w:t>ational, regional or</w:t>
      </w:r>
      <w:r w:rsidR="00317E98" w:rsidRPr="00AC3B6F">
        <w:rPr>
          <w:rFonts w:cs="Arial"/>
          <w:szCs w:val="20"/>
        </w:rPr>
        <w:t xml:space="preserve"> local</w:t>
      </w:r>
      <w:r w:rsidR="00723181">
        <w:rPr>
          <w:rFonts w:cs="Arial"/>
          <w:szCs w:val="20"/>
        </w:rPr>
        <w:t xml:space="preserve">) and in networks of display devices </w:t>
      </w:r>
      <w:r>
        <w:rPr>
          <w:rFonts w:cs="Arial"/>
          <w:szCs w:val="20"/>
        </w:rPr>
        <w:t xml:space="preserve">through innovative, Web-based platforms proved in being </w:t>
      </w:r>
      <w:r>
        <w:rPr>
          <w:rFonts w:cs="Arial"/>
          <w:szCs w:val="20"/>
        </w:rPr>
        <w:t xml:space="preserve">a cost-effective solution to </w:t>
      </w:r>
      <w:r w:rsidRPr="00AC3B6F">
        <w:rPr>
          <w:rFonts w:cs="Arial"/>
          <w:szCs w:val="20"/>
        </w:rPr>
        <w:t>boost</w:t>
      </w:r>
      <w:r>
        <w:rPr>
          <w:rFonts w:cs="Arial"/>
          <w:szCs w:val="20"/>
        </w:rPr>
        <w:t>ing the</w:t>
      </w:r>
      <w:r w:rsidRPr="00AC3B6F">
        <w:rPr>
          <w:rFonts w:cs="Arial"/>
          <w:szCs w:val="20"/>
        </w:rPr>
        <w:t xml:space="preserve"> “citizen-centric” e-Government services</w:t>
      </w:r>
      <w:r>
        <w:rPr>
          <w:rFonts w:cs="Arial"/>
          <w:szCs w:val="20"/>
        </w:rPr>
        <w:t>. Available cl</w:t>
      </w:r>
      <w:r w:rsidR="00C971D9">
        <w:rPr>
          <w:rFonts w:cs="Arial"/>
          <w:szCs w:val="20"/>
        </w:rPr>
        <w:t>oud-based platforms for Digital-Out-</w:t>
      </w:r>
      <w:r>
        <w:rPr>
          <w:rFonts w:cs="Arial"/>
          <w:szCs w:val="20"/>
        </w:rPr>
        <w:t>Of</w:t>
      </w:r>
      <w:r w:rsidR="00C971D9">
        <w:rPr>
          <w:rFonts w:cs="Arial"/>
          <w:szCs w:val="20"/>
        </w:rPr>
        <w:t>-</w:t>
      </w:r>
      <w:r>
        <w:rPr>
          <w:rFonts w:cs="Arial"/>
          <w:szCs w:val="20"/>
        </w:rPr>
        <w:t>Home</w:t>
      </w:r>
      <w:r w:rsidR="00C971D9">
        <w:rPr>
          <w:rFonts w:cs="Arial"/>
          <w:szCs w:val="20"/>
        </w:rPr>
        <w:t xml:space="preserve"> (DOOH) enable the creation of </w:t>
      </w:r>
      <w:r w:rsidR="00C971D9" w:rsidRPr="00AC3B6F">
        <w:rPr>
          <w:rFonts w:cs="Arial"/>
          <w:szCs w:val="20"/>
        </w:rPr>
        <w:t>mash-ups of e-Government contents for raising awareness of citizens about e-Government servi</w:t>
      </w:r>
      <w:r w:rsidR="00C971D9">
        <w:rPr>
          <w:rFonts w:cs="Arial"/>
          <w:szCs w:val="20"/>
        </w:rPr>
        <w:t xml:space="preserve">ces available across all Europe, </w:t>
      </w:r>
      <w:r w:rsidR="00C971D9" w:rsidRPr="00AC3B6F">
        <w:rPr>
          <w:rFonts w:cs="Arial"/>
          <w:szCs w:val="20"/>
        </w:rPr>
        <w:t>transforming PSI into interactive advertisement messages.</w:t>
      </w:r>
    </w:p>
    <w:p w:rsidR="006D0243" w:rsidRDefault="006D0243" w:rsidP="006D0243">
      <w:pPr>
        <w:pStyle w:val="Heading1"/>
      </w:pPr>
      <w:r w:rsidRPr="00D83881">
        <w:t>Management summary</w:t>
      </w:r>
      <w:r>
        <w:t xml:space="preserve"> </w:t>
      </w:r>
    </w:p>
    <w:p w:rsidR="00353311" w:rsidRDefault="006D0243" w:rsidP="007E5FD8">
      <w:pPr>
        <w:pStyle w:val="Heading2"/>
      </w:pPr>
      <w:r>
        <w:t>Challenge</w:t>
      </w:r>
    </w:p>
    <w:p w:rsidR="00C971D9" w:rsidRPr="004D195C" w:rsidRDefault="00C971D9" w:rsidP="004D195C">
      <w:r w:rsidRPr="00AC3B6F">
        <w:rPr>
          <w:rFonts w:cs="Arial"/>
        </w:rPr>
        <w:t>Loads of pre-existing  investments  in  e-Government  back-offices,  platforms  and  services  are  available across Europe, deploying a wide set of services, but in most cases efforts are duplicated, little to no reuse of e-Government data  and  information  is  implemented and obsolete technologies are still put in place.</w:t>
      </w:r>
      <w:r>
        <w:rPr>
          <w:rFonts w:cs="Arial"/>
        </w:rPr>
        <w:t xml:space="preserve"> </w:t>
      </w:r>
      <w:r>
        <w:rPr>
          <w:rFonts w:cs="Arial"/>
          <w:szCs w:val="20"/>
        </w:rPr>
        <w:t>I</w:t>
      </w:r>
      <w:r w:rsidRPr="00AC3B6F">
        <w:rPr>
          <w:rFonts w:cs="Arial"/>
          <w:szCs w:val="20"/>
        </w:rPr>
        <w:t xml:space="preserve">n the Internet age and latest financial </w:t>
      </w:r>
      <w:r>
        <w:rPr>
          <w:rFonts w:cs="Arial"/>
          <w:szCs w:val="20"/>
        </w:rPr>
        <w:t>restructuration</w:t>
      </w:r>
      <w:r w:rsidRPr="00AC3B6F">
        <w:rPr>
          <w:rFonts w:cs="Arial"/>
          <w:szCs w:val="20"/>
        </w:rPr>
        <w:t>, public bodies need to rely on all assets at hand: public spaces and buildings, existing e-infrastructure, old h</w:t>
      </w:r>
      <w:r>
        <w:rPr>
          <w:rFonts w:cs="Arial"/>
          <w:szCs w:val="20"/>
        </w:rPr>
        <w:t xml:space="preserve">ardware </w:t>
      </w:r>
      <w:r w:rsidRPr="00AC3B6F">
        <w:rPr>
          <w:rFonts w:cs="Arial"/>
          <w:szCs w:val="20"/>
        </w:rPr>
        <w:t>such as info kiosks</w:t>
      </w:r>
      <w:r>
        <w:rPr>
          <w:rFonts w:cs="Arial"/>
          <w:szCs w:val="20"/>
        </w:rPr>
        <w:t xml:space="preserve"> TV sets, PCs</w:t>
      </w:r>
      <w:r w:rsidRPr="00AC3B6F">
        <w:rPr>
          <w:rFonts w:cs="Arial"/>
          <w:szCs w:val="20"/>
        </w:rPr>
        <w:t xml:space="preserve">, already existing public services, and </w:t>
      </w:r>
      <w:r>
        <w:rPr>
          <w:rFonts w:cs="Arial"/>
          <w:szCs w:val="20"/>
        </w:rPr>
        <w:t xml:space="preserve">the </w:t>
      </w:r>
      <w:r w:rsidRPr="00AC3B6F">
        <w:rPr>
          <w:rFonts w:cs="Arial"/>
          <w:szCs w:val="20"/>
        </w:rPr>
        <w:t xml:space="preserve">large number of end-users visiting public facilities daily. </w:t>
      </w:r>
      <w:r>
        <w:rPr>
          <w:rFonts w:cs="Arial"/>
          <w:szCs w:val="20"/>
        </w:rPr>
        <w:t>They need to leverage</w:t>
      </w:r>
      <w:r w:rsidRPr="00AC3B6F">
        <w:rPr>
          <w:rFonts w:cs="Arial"/>
          <w:szCs w:val="20"/>
        </w:rPr>
        <w:t xml:space="preserve"> all these to r</w:t>
      </w:r>
      <w:r>
        <w:rPr>
          <w:rFonts w:cs="Arial"/>
          <w:szCs w:val="20"/>
        </w:rPr>
        <w:t xml:space="preserve">aise awareness of citizens and facilitate </w:t>
      </w:r>
      <w:r>
        <w:rPr>
          <w:rFonts w:cs="Arial"/>
          <w:szCs w:val="20"/>
        </w:rPr>
        <w:t xml:space="preserve">the </w:t>
      </w:r>
      <w:r>
        <w:rPr>
          <w:rFonts w:cs="Arial"/>
          <w:szCs w:val="20"/>
        </w:rPr>
        <w:t>shift</w:t>
      </w:r>
      <w:r>
        <w:rPr>
          <w:rFonts w:cs="Arial"/>
          <w:szCs w:val="20"/>
        </w:rPr>
        <w:t xml:space="preserve"> from awareness to</w:t>
      </w:r>
      <w:r>
        <w:rPr>
          <w:rFonts w:cs="Arial"/>
          <w:szCs w:val="20"/>
        </w:rPr>
        <w:t xml:space="preserve"> action and </w:t>
      </w:r>
      <w:r w:rsidRPr="00AC3B6F">
        <w:rPr>
          <w:rFonts w:cs="Arial"/>
          <w:szCs w:val="20"/>
        </w:rPr>
        <w:t>engagement</w:t>
      </w:r>
      <w:r>
        <w:rPr>
          <w:rFonts w:cs="Arial"/>
          <w:szCs w:val="20"/>
        </w:rPr>
        <w:t xml:space="preserve">. </w:t>
      </w:r>
    </w:p>
    <w:p w:rsidR="00353311" w:rsidRDefault="00353311" w:rsidP="00353311">
      <w:pPr>
        <w:pStyle w:val="Heading2"/>
      </w:pPr>
      <w:r>
        <w:lastRenderedPageBreak/>
        <w:t xml:space="preserve">Solution </w:t>
      </w:r>
    </w:p>
    <w:p w:rsidR="004D195C" w:rsidRDefault="0089407D" w:rsidP="004D195C">
      <w:r>
        <w:t>Reusing and integrating existing resources into Web 2.0-based platforms will not only raise citizens’ awareness, but will also boost the dialogue between administration and citizens. Such a platforms should provide features such as:</w:t>
      </w:r>
    </w:p>
    <w:p w:rsidR="00176894" w:rsidRDefault="00176894" w:rsidP="0089407D">
      <w:pPr>
        <w:pStyle w:val="ListParagraph"/>
        <w:numPr>
          <w:ilvl w:val="0"/>
          <w:numId w:val="46"/>
        </w:numPr>
      </w:pPr>
      <w:r>
        <w:t>Transform existing PSI services into advertisement services</w:t>
      </w:r>
    </w:p>
    <w:p w:rsidR="0089407D" w:rsidRDefault="0089407D" w:rsidP="0089407D">
      <w:pPr>
        <w:pStyle w:val="ListParagraph"/>
        <w:numPr>
          <w:ilvl w:val="0"/>
          <w:numId w:val="46"/>
        </w:numPr>
      </w:pPr>
      <w:r>
        <w:t xml:space="preserve">Enabling the reuse of available </w:t>
      </w:r>
      <w:r w:rsidR="00176894">
        <w:t xml:space="preserve">PSI </w:t>
      </w:r>
      <w:r>
        <w:t xml:space="preserve">in different systems, </w:t>
      </w:r>
      <w:r w:rsidR="00176894">
        <w:t>either internal to public units</w:t>
      </w:r>
      <w:r>
        <w:t xml:space="preserve"> or </w:t>
      </w:r>
      <w:r w:rsidR="00176894">
        <w:t>from external sources (EU portals, Open Data portals etc), and its integration into mash-ups</w:t>
      </w:r>
    </w:p>
    <w:p w:rsidR="00176894" w:rsidRDefault="00176894" w:rsidP="0089407D">
      <w:pPr>
        <w:pStyle w:val="ListParagraph"/>
        <w:numPr>
          <w:ilvl w:val="0"/>
          <w:numId w:val="46"/>
        </w:numPr>
      </w:pPr>
      <w:r>
        <w:t>Support multiple channels (from indoor/outdoor screens to mobile devices) in delivering the messages to end-users</w:t>
      </w:r>
    </w:p>
    <w:p w:rsidR="0089407D" w:rsidRPr="004D195C" w:rsidRDefault="0089407D" w:rsidP="0089407D">
      <w:pPr>
        <w:pStyle w:val="ListParagraph"/>
        <w:numPr>
          <w:ilvl w:val="0"/>
          <w:numId w:val="46"/>
        </w:numPr>
      </w:pPr>
      <w:r>
        <w:t xml:space="preserve">Software-as-a-Service seems to be the preferred business model for public administrations shielding those units from the necessity to administrate additional e-Infrastructures, meanwhile supporting pay-as-you-go, so important in the current budgetary context </w:t>
      </w:r>
    </w:p>
    <w:p w:rsidR="00C65344" w:rsidRDefault="00C65344" w:rsidP="00C65344">
      <w:pPr>
        <w:pStyle w:val="Heading1"/>
      </w:pPr>
      <w:r w:rsidRPr="00C65344">
        <w:t>Best Practice Identification</w:t>
      </w:r>
    </w:p>
    <w:p w:rsidR="00176894" w:rsidRDefault="00176894" w:rsidP="00176894">
      <w:pPr>
        <w:pStyle w:val="Default"/>
      </w:pPr>
    </w:p>
    <w:p w:rsidR="00176894" w:rsidRDefault="00176894" w:rsidP="00176894">
      <w:pPr>
        <w:pStyle w:val="Default"/>
        <w:numPr>
          <w:ilvl w:val="0"/>
          <w:numId w:val="47"/>
        </w:numPr>
        <w:rPr>
          <w:sz w:val="22"/>
          <w:szCs w:val="22"/>
        </w:rPr>
      </w:pPr>
      <w:r w:rsidRPr="00176894">
        <w:rPr>
          <w:b/>
          <w:sz w:val="22"/>
          <w:szCs w:val="22"/>
        </w:rPr>
        <w:t>Name of the Best Practice:</w:t>
      </w:r>
      <w:r w:rsidRPr="001768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Boosting citizens’ awareness through the reuse of existing resources (stocks of PSI, network of interactive display devices etc.) </w:t>
      </w:r>
    </w:p>
    <w:p w:rsidR="00176894" w:rsidRPr="00176894" w:rsidRDefault="00176894" w:rsidP="00176894">
      <w:pPr>
        <w:pStyle w:val="Default"/>
        <w:numPr>
          <w:ilvl w:val="0"/>
          <w:numId w:val="47"/>
        </w:numPr>
        <w:rPr>
          <w:sz w:val="22"/>
          <w:szCs w:val="22"/>
        </w:rPr>
      </w:pPr>
      <w:r w:rsidRPr="00176894">
        <w:rPr>
          <w:b/>
          <w:sz w:val="22"/>
          <w:szCs w:val="22"/>
        </w:rPr>
        <w:t>Type of customer:</w:t>
      </w:r>
      <w:r w:rsidRPr="00176894">
        <w:rPr>
          <w:sz w:val="22"/>
          <w:szCs w:val="22"/>
        </w:rPr>
        <w:t xml:space="preserve"> all EU member states; </w:t>
      </w:r>
    </w:p>
    <w:p w:rsidR="00C65344" w:rsidRDefault="00C65344" w:rsidP="002F4DB5">
      <w:pPr>
        <w:pStyle w:val="Heading2"/>
      </w:pPr>
      <w:r>
        <w:t xml:space="preserve">Why is this a Best Practice? What's the impact of the Best Practice? </w:t>
      </w:r>
    </w:p>
    <w:p w:rsidR="004D195C" w:rsidRPr="004D195C" w:rsidRDefault="00176894" w:rsidP="004D195C">
      <w:r>
        <w:t xml:space="preserve">The impact of previous e-Government investments on citizens is not the </w:t>
      </w:r>
      <w:r w:rsidR="00B1618C">
        <w:t>expected</w:t>
      </w:r>
      <w:r>
        <w:t xml:space="preserve"> one, </w:t>
      </w:r>
      <w:r w:rsidR="00B1618C">
        <w:t>with</w:t>
      </w:r>
      <w:r>
        <w:t xml:space="preserve"> all EU countries searching for solutions to enhance citizens’ awareness and participation. This will enable citizen-centric government, it will </w:t>
      </w:r>
      <w:r w:rsidR="00B1618C">
        <w:t>result in cost reduction for administrations and it will streamline the communication with citizens.</w:t>
      </w:r>
    </w:p>
    <w:p w:rsidR="00BF411D" w:rsidRPr="00A36A76" w:rsidRDefault="00BF411D" w:rsidP="00BF411D">
      <w:pPr>
        <w:pStyle w:val="Heading2"/>
        <w:numPr>
          <w:ilvl w:val="1"/>
          <w:numId w:val="1"/>
        </w:numPr>
      </w:pPr>
      <w:r w:rsidRPr="00A36A76">
        <w:t>Link to the PSI Directive</w:t>
      </w:r>
    </w:p>
    <w:p w:rsidR="004D195C" w:rsidRDefault="004D195C" w:rsidP="00BF411D">
      <w:pPr>
        <w:rPr>
          <w:i/>
        </w:rPr>
      </w:pPr>
      <w:r w:rsidRPr="004D195C">
        <w:rPr>
          <w:i/>
        </w:rPr>
        <w:t xml:space="preserve">(Please use </w:t>
      </w:r>
      <w:r>
        <w:rPr>
          <w:i/>
        </w:rPr>
        <w:t xml:space="preserve">one or more of the </w:t>
      </w:r>
      <w:r w:rsidRPr="004D195C">
        <w:rPr>
          <w:i/>
        </w:rPr>
        <w:t xml:space="preserve">categories </w:t>
      </w:r>
      <w:r>
        <w:rPr>
          <w:i/>
        </w:rPr>
        <w:t xml:space="preserve">listed </w:t>
      </w:r>
      <w:r w:rsidRPr="004D195C">
        <w:rPr>
          <w:i/>
        </w:rPr>
        <w:t>on the last page of this document</w:t>
      </w:r>
      <w:r>
        <w:rPr>
          <w:i/>
        </w:rPr>
        <w:t>, as many as relevant</w:t>
      </w:r>
      <w:r w:rsidRPr="004D195C">
        <w:rPr>
          <w:i/>
        </w:rPr>
        <w:t>)</w:t>
      </w:r>
    </w:p>
    <w:p w:rsidR="00B1618C" w:rsidRDefault="00B1618C" w:rsidP="00B1618C">
      <w:pPr>
        <w:pStyle w:val="ListParagraph"/>
        <w:numPr>
          <w:ilvl w:val="0"/>
          <w:numId w:val="45"/>
        </w:numPr>
      </w:pPr>
      <w:r>
        <w:t>Organisational structures and skills</w:t>
      </w:r>
    </w:p>
    <w:p w:rsidR="00B1618C" w:rsidRDefault="00B1618C" w:rsidP="00B1618C">
      <w:pPr>
        <w:pStyle w:val="ListParagraph"/>
        <w:numPr>
          <w:ilvl w:val="0"/>
          <w:numId w:val="45"/>
        </w:numPr>
      </w:pPr>
      <w:r>
        <w:t xml:space="preserve">Encouraging (commercial) re-use </w:t>
      </w:r>
    </w:p>
    <w:p w:rsidR="00B1618C" w:rsidRDefault="00B1618C" w:rsidP="00B1618C">
      <w:pPr>
        <w:pStyle w:val="ListParagraph"/>
        <w:numPr>
          <w:ilvl w:val="0"/>
          <w:numId w:val="45"/>
        </w:numPr>
      </w:pPr>
      <w:r>
        <w:t>Data quality issues and solutions / Quality assurance, feedback channels and evaluation</w:t>
      </w:r>
    </w:p>
    <w:p w:rsidR="00C65344" w:rsidRDefault="00837EC5" w:rsidP="004D195C">
      <w:pPr>
        <w:pStyle w:val="Heading2"/>
        <w:keepNext w:val="0"/>
        <w:ind w:left="578" w:hanging="578"/>
      </w:pPr>
      <w:r>
        <w:t>Why</w:t>
      </w:r>
      <w:r w:rsidR="00C65344" w:rsidRPr="00837EC5">
        <w:t xml:space="preserve"> </w:t>
      </w:r>
      <w:r>
        <w:t>is there a</w:t>
      </w:r>
      <w:r w:rsidR="00C65344" w:rsidRPr="00837EC5">
        <w:t xml:space="preserve"> need for this Best Practice? </w:t>
      </w:r>
    </w:p>
    <w:p w:rsidR="004D195C" w:rsidRPr="004D195C" w:rsidRDefault="00B1618C" w:rsidP="004D195C">
      <w:r>
        <w:t xml:space="preserve">In spite of huge efforts invested at national, regional of local levels, the usage of e-Government services is not the expected one. The involvement and the feedback of citizens is not the expected one. </w:t>
      </w:r>
    </w:p>
    <w:p w:rsidR="00E335AE" w:rsidRDefault="00E335AE" w:rsidP="00E335AE">
      <w:pPr>
        <w:pStyle w:val="Heading1"/>
      </w:pPr>
      <w:r w:rsidRPr="00E335AE">
        <w:t xml:space="preserve">What do you need for this Best Practice? </w:t>
      </w:r>
    </w:p>
    <w:p w:rsidR="004D195C" w:rsidRDefault="00C62295" w:rsidP="004D195C">
      <w:r>
        <w:t>If public bodies want to adopt this Best Practice they will have to:</w:t>
      </w:r>
    </w:p>
    <w:p w:rsidR="003A1C3D" w:rsidRDefault="003A1C3D" w:rsidP="00C62295">
      <w:pPr>
        <w:pStyle w:val="ListParagraph"/>
        <w:numPr>
          <w:ilvl w:val="0"/>
          <w:numId w:val="45"/>
        </w:numPr>
        <w:ind w:left="703" w:hanging="703"/>
      </w:pPr>
      <w:r>
        <w:t>Be willing to embrace “citizen-centric” government paradigm; foster citizens’ awareness and participation</w:t>
      </w:r>
    </w:p>
    <w:p w:rsidR="00C62295" w:rsidRPr="00C62295" w:rsidRDefault="00C62295" w:rsidP="00C62295">
      <w:pPr>
        <w:pStyle w:val="ListParagraph"/>
        <w:numPr>
          <w:ilvl w:val="0"/>
          <w:numId w:val="45"/>
        </w:numPr>
        <w:ind w:left="703" w:hanging="703"/>
      </w:pPr>
      <w:r w:rsidRPr="00C62295">
        <w:t>Identify available resources (PSI providers, display devices) in their area (local, regional, national)</w:t>
      </w:r>
    </w:p>
    <w:p w:rsidR="00C62295" w:rsidRPr="00C62295" w:rsidRDefault="00C62295" w:rsidP="00C62295">
      <w:pPr>
        <w:pStyle w:val="Default"/>
        <w:numPr>
          <w:ilvl w:val="0"/>
          <w:numId w:val="45"/>
        </w:numPr>
        <w:spacing w:after="160"/>
        <w:ind w:left="703" w:hanging="703"/>
        <w:rPr>
          <w:sz w:val="22"/>
          <w:szCs w:val="22"/>
        </w:rPr>
      </w:pPr>
      <w:r w:rsidRPr="00C62295">
        <w:rPr>
          <w:sz w:val="22"/>
          <w:szCs w:val="22"/>
        </w:rPr>
        <w:lastRenderedPageBreak/>
        <w:t>Select</w:t>
      </w:r>
      <w:r w:rsidR="003A1C3D">
        <w:rPr>
          <w:sz w:val="22"/>
          <w:szCs w:val="22"/>
        </w:rPr>
        <w:t xml:space="preserve"> an appropriate technological platform that must support the integration of available sources of PSI and should support multi-channel content delivery</w:t>
      </w:r>
    </w:p>
    <w:p w:rsidR="00C62295" w:rsidRPr="003A1C3D" w:rsidRDefault="00C62295" w:rsidP="003A1C3D">
      <w:pPr>
        <w:pStyle w:val="Default"/>
        <w:numPr>
          <w:ilvl w:val="0"/>
          <w:numId w:val="45"/>
        </w:numPr>
        <w:spacing w:after="160"/>
        <w:ind w:left="703" w:hanging="703"/>
        <w:rPr>
          <w:sz w:val="22"/>
          <w:szCs w:val="22"/>
        </w:rPr>
      </w:pPr>
      <w:r w:rsidRPr="00C62295">
        <w:rPr>
          <w:sz w:val="22"/>
          <w:szCs w:val="22"/>
        </w:rPr>
        <w:t>Allocate</w:t>
      </w:r>
      <w:r w:rsidRPr="00C62295">
        <w:rPr>
          <w:sz w:val="22"/>
          <w:szCs w:val="22"/>
        </w:rPr>
        <w:t xml:space="preserve"> the necessary people </w:t>
      </w:r>
      <w:r w:rsidRPr="00C62295">
        <w:rPr>
          <w:sz w:val="22"/>
          <w:szCs w:val="22"/>
        </w:rPr>
        <w:t>to</w:t>
      </w:r>
      <w:r w:rsidRPr="00C62295">
        <w:rPr>
          <w:sz w:val="22"/>
          <w:szCs w:val="22"/>
        </w:rPr>
        <w:t xml:space="preserve"> </w:t>
      </w:r>
      <w:r w:rsidR="003A1C3D">
        <w:rPr>
          <w:sz w:val="22"/>
          <w:szCs w:val="22"/>
        </w:rPr>
        <w:t>operate</w:t>
      </w:r>
      <w:r w:rsidRPr="00C62295">
        <w:rPr>
          <w:sz w:val="22"/>
          <w:szCs w:val="22"/>
        </w:rPr>
        <w:t xml:space="preserve"> the platform</w:t>
      </w:r>
    </w:p>
    <w:p w:rsidR="00C65344" w:rsidRDefault="00C65344" w:rsidP="00E335AE">
      <w:pPr>
        <w:pStyle w:val="Heading1"/>
      </w:pPr>
      <w:r w:rsidRPr="00E335AE">
        <w:t xml:space="preserve">Applicability </w:t>
      </w:r>
      <w:r w:rsidR="00B62AE3">
        <w:t>by</w:t>
      </w:r>
      <w:r w:rsidRPr="00E335AE">
        <w:t xml:space="preserve"> other member states? </w:t>
      </w:r>
    </w:p>
    <w:p w:rsidR="00C62295" w:rsidRPr="004D195C" w:rsidRDefault="00C62295" w:rsidP="004D195C">
      <w:r>
        <w:t>Yes. EC-funded projects piloted similar solutions into several EU-countries (such as SEED project) and feedback collected from end-users and content providers is a proof to considering this as a Best Practice.</w:t>
      </w:r>
    </w:p>
    <w:p w:rsidR="00C65344" w:rsidRDefault="00C65344" w:rsidP="00E335AE">
      <w:pPr>
        <w:pStyle w:val="Heading1"/>
      </w:pPr>
      <w:r w:rsidRPr="00E335AE">
        <w:t xml:space="preserve">Contact info </w:t>
      </w:r>
      <w:r w:rsidR="005E650A">
        <w:t>-</w:t>
      </w:r>
      <w:r w:rsidRPr="00E335AE">
        <w:t xml:space="preserve"> record of the person to be contacted for additional information or advice. </w:t>
      </w:r>
    </w:p>
    <w:p w:rsidR="00C62295" w:rsidRDefault="00B1618C">
      <w:r>
        <w:t xml:space="preserve">Daniel Pop – </w:t>
      </w:r>
      <w:r w:rsidR="00C62295">
        <w:t xml:space="preserve">West University of Timisoara &amp; Research Institute e-Austria Timisoara </w:t>
      </w:r>
    </w:p>
    <w:p w:rsidR="00356EB0" w:rsidRDefault="00C62295">
      <w:hyperlink r:id="rId9" w:history="1">
        <w:r w:rsidRPr="00703CC0">
          <w:rPr>
            <w:rStyle w:val="Hyperlink"/>
          </w:rPr>
          <w:t>http://www.ieat.ro</w:t>
        </w:r>
      </w:hyperlink>
      <w:r>
        <w:t xml:space="preserve"> , </w:t>
      </w:r>
      <w:hyperlink r:id="rId10" w:history="1">
        <w:r w:rsidRPr="00703CC0">
          <w:rPr>
            <w:rStyle w:val="Hyperlink"/>
          </w:rPr>
          <w:t>http://www.math.uvt.ro</w:t>
        </w:r>
      </w:hyperlink>
      <w:r>
        <w:t xml:space="preserve"> , </w:t>
      </w:r>
      <w:hyperlink r:id="rId11" w:history="1">
        <w:r w:rsidRPr="00703CC0">
          <w:rPr>
            <w:rStyle w:val="Hyperlink"/>
          </w:rPr>
          <w:t>danielpop@e-uvt.ro</w:t>
        </w:r>
      </w:hyperlink>
    </w:p>
    <w:p w:rsidR="00356EB0" w:rsidRPr="00356EB0" w:rsidRDefault="00356EB0" w:rsidP="003A1C3D">
      <w:bookmarkStart w:id="0" w:name="_GoBack"/>
      <w:bookmarkEnd w:id="0"/>
    </w:p>
    <w:sectPr w:rsidR="00356EB0" w:rsidRPr="00356EB0" w:rsidSect="0057162A">
      <w:pgSz w:w="12240" w:h="15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270" w:rsidRDefault="00A35270" w:rsidP="00317E98">
      <w:pPr>
        <w:spacing w:after="0" w:line="240" w:lineRule="auto"/>
      </w:pPr>
      <w:r>
        <w:separator/>
      </w:r>
    </w:p>
  </w:endnote>
  <w:endnote w:type="continuationSeparator" w:id="0">
    <w:p w:rsidR="00A35270" w:rsidRDefault="00A35270" w:rsidP="0031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270" w:rsidRDefault="00A35270" w:rsidP="00317E98">
      <w:pPr>
        <w:spacing w:after="0" w:line="240" w:lineRule="auto"/>
      </w:pPr>
      <w:r>
        <w:separator/>
      </w:r>
    </w:p>
  </w:footnote>
  <w:footnote w:type="continuationSeparator" w:id="0">
    <w:p w:rsidR="00A35270" w:rsidRDefault="00A35270" w:rsidP="0031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7CC"/>
    <w:multiLevelType w:val="multilevel"/>
    <w:tmpl w:val="8D3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170BA"/>
    <w:multiLevelType w:val="hybridMultilevel"/>
    <w:tmpl w:val="E1F0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164D46D5"/>
    <w:multiLevelType w:val="multilevel"/>
    <w:tmpl w:val="3BF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132A9"/>
    <w:multiLevelType w:val="hybridMultilevel"/>
    <w:tmpl w:val="53AA0B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B113E"/>
    <w:multiLevelType w:val="multilevel"/>
    <w:tmpl w:val="546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D70D6"/>
    <w:multiLevelType w:val="hybridMultilevel"/>
    <w:tmpl w:val="15AE0D8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0BD0650"/>
    <w:multiLevelType w:val="hybridMultilevel"/>
    <w:tmpl w:val="5B3A1D92"/>
    <w:lvl w:ilvl="0" w:tplc="3D06704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666D0"/>
    <w:multiLevelType w:val="hybridMultilevel"/>
    <w:tmpl w:val="21BECF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D23F5"/>
    <w:multiLevelType w:val="hybridMultilevel"/>
    <w:tmpl w:val="50C2B8B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12219E"/>
    <w:multiLevelType w:val="hybridMultilevel"/>
    <w:tmpl w:val="CC740CD0"/>
    <w:lvl w:ilvl="0" w:tplc="3D06704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DD298E"/>
    <w:multiLevelType w:val="hybridMultilevel"/>
    <w:tmpl w:val="A4865760"/>
    <w:lvl w:ilvl="0" w:tplc="B1300B94">
      <w:numFmt w:val="bullet"/>
      <w:lvlText w:val="-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76FC3"/>
    <w:multiLevelType w:val="multilevel"/>
    <w:tmpl w:val="C76C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353421"/>
    <w:multiLevelType w:val="hybridMultilevel"/>
    <w:tmpl w:val="3996848E"/>
    <w:lvl w:ilvl="0" w:tplc="B1300B94">
      <w:numFmt w:val="bullet"/>
      <w:lvlText w:val="-"/>
      <w:lvlJc w:val="left"/>
      <w:pPr>
        <w:ind w:left="705" w:hanging="70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B43457"/>
    <w:multiLevelType w:val="hybridMultilevel"/>
    <w:tmpl w:val="5588CD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2446F"/>
    <w:multiLevelType w:val="hybridMultilevel"/>
    <w:tmpl w:val="C720AC92"/>
    <w:lvl w:ilvl="0" w:tplc="08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5AC44E51"/>
    <w:multiLevelType w:val="hybridMultilevel"/>
    <w:tmpl w:val="1DE2E00E"/>
    <w:lvl w:ilvl="0" w:tplc="BEB4770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33778"/>
    <w:multiLevelType w:val="hybridMultilevel"/>
    <w:tmpl w:val="B05075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26C1E"/>
    <w:multiLevelType w:val="hybridMultilevel"/>
    <w:tmpl w:val="241E0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96460"/>
    <w:multiLevelType w:val="hybridMultilevel"/>
    <w:tmpl w:val="F544FD0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716289"/>
    <w:multiLevelType w:val="multilevel"/>
    <w:tmpl w:val="F1BC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</w:num>
  <w:num w:numId="17">
    <w:abstractNumId w:val="6"/>
  </w:num>
  <w:num w:numId="18">
    <w:abstractNumId w:val="20"/>
  </w:num>
  <w:num w:numId="19">
    <w:abstractNumId w:val="5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4"/>
  </w:num>
  <w:num w:numId="26">
    <w:abstractNumId w:val="17"/>
  </w:num>
  <w:num w:numId="27">
    <w:abstractNumId w:val="14"/>
  </w:num>
  <w:num w:numId="28">
    <w:abstractNumId w:val="8"/>
  </w:num>
  <w:num w:numId="29">
    <w:abstractNumId w:val="16"/>
  </w:num>
  <w:num w:numId="30">
    <w:abstractNumId w:val="2"/>
  </w:num>
  <w:num w:numId="31">
    <w:abstractNumId w:val="2"/>
  </w:num>
  <w:num w:numId="32">
    <w:abstractNumId w:val="18"/>
  </w:num>
  <w:num w:numId="33">
    <w:abstractNumId w:val="12"/>
  </w:num>
  <w:num w:numId="34">
    <w:abstractNumId w:val="3"/>
  </w:num>
  <w:num w:numId="35">
    <w:abstractNumId w:val="2"/>
  </w:num>
  <w:num w:numId="36">
    <w:abstractNumId w:val="2"/>
  </w:num>
  <w:num w:numId="37">
    <w:abstractNumId w:val="0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5"/>
  </w:num>
  <w:num w:numId="43">
    <w:abstractNumId w:val="1"/>
  </w:num>
  <w:num w:numId="44">
    <w:abstractNumId w:val="11"/>
  </w:num>
  <w:num w:numId="45">
    <w:abstractNumId w:val="13"/>
  </w:num>
  <w:num w:numId="46">
    <w:abstractNumId w:val="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90"/>
    <w:rsid w:val="0001297D"/>
    <w:rsid w:val="00025E8D"/>
    <w:rsid w:val="00094EF1"/>
    <w:rsid w:val="000C60F5"/>
    <w:rsid w:val="000D2DD4"/>
    <w:rsid w:val="000E097B"/>
    <w:rsid w:val="00151472"/>
    <w:rsid w:val="00164EF8"/>
    <w:rsid w:val="00176894"/>
    <w:rsid w:val="00196C16"/>
    <w:rsid w:val="001D0A0B"/>
    <w:rsid w:val="001E0DBC"/>
    <w:rsid w:val="002F4DB5"/>
    <w:rsid w:val="00317E98"/>
    <w:rsid w:val="00326BB7"/>
    <w:rsid w:val="00353311"/>
    <w:rsid w:val="00356EB0"/>
    <w:rsid w:val="003A1C3D"/>
    <w:rsid w:val="003B24C7"/>
    <w:rsid w:val="003B27C9"/>
    <w:rsid w:val="003E65DE"/>
    <w:rsid w:val="003F7D25"/>
    <w:rsid w:val="00497629"/>
    <w:rsid w:val="004D195C"/>
    <w:rsid w:val="00522941"/>
    <w:rsid w:val="0057162A"/>
    <w:rsid w:val="0058249C"/>
    <w:rsid w:val="005D6AEB"/>
    <w:rsid w:val="005E650A"/>
    <w:rsid w:val="006145BA"/>
    <w:rsid w:val="00667B7F"/>
    <w:rsid w:val="0067275D"/>
    <w:rsid w:val="0069086B"/>
    <w:rsid w:val="006D0243"/>
    <w:rsid w:val="00704222"/>
    <w:rsid w:val="00723181"/>
    <w:rsid w:val="007410EB"/>
    <w:rsid w:val="007556DE"/>
    <w:rsid w:val="00776FB9"/>
    <w:rsid w:val="007E123B"/>
    <w:rsid w:val="007E4771"/>
    <w:rsid w:val="007E5FD8"/>
    <w:rsid w:val="007E610C"/>
    <w:rsid w:val="0080353B"/>
    <w:rsid w:val="00837B84"/>
    <w:rsid w:val="00837EC5"/>
    <w:rsid w:val="00850791"/>
    <w:rsid w:val="008858A5"/>
    <w:rsid w:val="0089407D"/>
    <w:rsid w:val="008A6F72"/>
    <w:rsid w:val="0093138A"/>
    <w:rsid w:val="00953F39"/>
    <w:rsid w:val="00962C40"/>
    <w:rsid w:val="009E5E12"/>
    <w:rsid w:val="00A35270"/>
    <w:rsid w:val="00B12D90"/>
    <w:rsid w:val="00B1618C"/>
    <w:rsid w:val="00B62AE3"/>
    <w:rsid w:val="00BC6C48"/>
    <w:rsid w:val="00BF411D"/>
    <w:rsid w:val="00BF5E50"/>
    <w:rsid w:val="00C62295"/>
    <w:rsid w:val="00C65344"/>
    <w:rsid w:val="00C971D9"/>
    <w:rsid w:val="00CE4DA8"/>
    <w:rsid w:val="00D71355"/>
    <w:rsid w:val="00D83881"/>
    <w:rsid w:val="00D96D9A"/>
    <w:rsid w:val="00E00CBC"/>
    <w:rsid w:val="00E335AE"/>
    <w:rsid w:val="00EF47D3"/>
    <w:rsid w:val="00F05DAB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741F0-8F7F-4734-B5E4-49522BFD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apple-converted-space">
    <w:name w:val="apple-converted-space"/>
    <w:basedOn w:val="DefaultParagraphFont"/>
    <w:rsid w:val="007556DE"/>
  </w:style>
  <w:style w:type="character" w:styleId="Hyperlink">
    <w:name w:val="Hyperlink"/>
    <w:basedOn w:val="DefaultParagraphFont"/>
    <w:unhideWhenUsed/>
    <w:rsid w:val="007556DE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17E9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317E98"/>
    <w:rPr>
      <w:rFonts w:ascii="Arial" w:eastAsia="Times New Roman" w:hAnsi="Arial" w:cs="Times New Roman"/>
      <w:sz w:val="20"/>
      <w:szCs w:val="20"/>
      <w:lang w:val="en-GB" w:eastAsia="en-US"/>
    </w:rPr>
  </w:style>
  <w:style w:type="character" w:styleId="FootnoteReference">
    <w:name w:val="footnote reference"/>
    <w:basedOn w:val="DefaultParagraphFont"/>
    <w:rsid w:val="00317E98"/>
    <w:rPr>
      <w:vertAlign w:val="superscript"/>
    </w:rPr>
  </w:style>
  <w:style w:type="paragraph" w:customStyle="1" w:styleId="Default">
    <w:name w:val="Default"/>
    <w:rsid w:val="001768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pop@e-uvt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h.uvt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eat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herno\AppData\Roaming\Microsoft\Sjablonen\Rapport-ontwerp%20(leeg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Rapport-ontwerp (leeg).dotx</Template>
  <TotalTime>88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Herreweghe, Noel</dc:creator>
  <cp:keywords/>
  <cp:lastModifiedBy>danielpop</cp:lastModifiedBy>
  <cp:revision>3</cp:revision>
  <dcterms:created xsi:type="dcterms:W3CDTF">2015-04-20T18:11:00Z</dcterms:created>
  <dcterms:modified xsi:type="dcterms:W3CDTF">2015-05-17T22:22:00Z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